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5EB6" w14:textId="77777777" w:rsidR="00A40E51" w:rsidRPr="003E4267" w:rsidRDefault="00C818A4" w:rsidP="0029078B">
      <w:pPr>
        <w:autoSpaceDE w:val="0"/>
        <w:autoSpaceDN w:val="0"/>
        <w:adjustRightInd w:val="0"/>
        <w:spacing w:before="120" w:after="120"/>
        <w:rPr>
          <w:rFonts w:cs="Arial"/>
        </w:rPr>
      </w:pPr>
      <w:r>
        <w:rPr>
          <w:rFonts w:cs="Arial"/>
          <w:noProof/>
          <w:lang w:eastAsia="en-GB"/>
        </w:rPr>
        <w:drawing>
          <wp:anchor distT="0" distB="0" distL="114300" distR="114300" simplePos="0" relativeHeight="251658752" behindDoc="0" locked="0" layoutInCell="1" allowOverlap="1" wp14:anchorId="2660A6FA" wp14:editId="64F28435">
            <wp:simplePos x="0" y="0"/>
            <wp:positionH relativeFrom="column">
              <wp:posOffset>4776470</wp:posOffset>
            </wp:positionH>
            <wp:positionV relativeFrom="paragraph">
              <wp:posOffset>242570</wp:posOffset>
            </wp:positionV>
            <wp:extent cx="1125856" cy="6965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5859" cy="6965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06B">
        <w:rPr>
          <w:noProof/>
          <w:lang w:eastAsia="en-GB"/>
        </w:rPr>
        <w:drawing>
          <wp:anchor distT="0" distB="0" distL="114300" distR="114300" simplePos="0" relativeHeight="251659776" behindDoc="1" locked="0" layoutInCell="1" allowOverlap="1" wp14:anchorId="46C6D8B8" wp14:editId="5574E129">
            <wp:simplePos x="0" y="0"/>
            <wp:positionH relativeFrom="margin">
              <wp:align>left</wp:align>
            </wp:positionH>
            <wp:positionV relativeFrom="paragraph">
              <wp:posOffset>198120</wp:posOffset>
            </wp:positionV>
            <wp:extent cx="2150745" cy="848995"/>
            <wp:effectExtent l="0" t="0" r="1905" b="8255"/>
            <wp:wrapThrough wrapText="bothSides">
              <wp:wrapPolygon edited="0">
                <wp:start x="0" y="0"/>
                <wp:lineTo x="0" y="21325"/>
                <wp:lineTo x="21428" y="21325"/>
                <wp:lineTo x="214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0745" cy="84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729">
        <w:rPr>
          <w:noProof/>
          <w:lang w:eastAsia="en-GB"/>
        </w:rPr>
        <w:t xml:space="preserve">    </w:t>
      </w:r>
      <w:r w:rsidR="0029078B">
        <w:rPr>
          <w:noProof/>
          <w:lang w:eastAsia="en-GB"/>
        </w:rPr>
        <w:drawing>
          <wp:inline distT="0" distB="0" distL="0" distR="0" wp14:anchorId="7FEEC552" wp14:editId="0614DC6B">
            <wp:extent cx="1938655" cy="969645"/>
            <wp:effectExtent l="0" t="0" r="444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8655" cy="969645"/>
                    </a:xfrm>
                    <a:prstGeom prst="rect">
                      <a:avLst/>
                    </a:prstGeom>
                    <a:noFill/>
                  </pic:spPr>
                </pic:pic>
              </a:graphicData>
            </a:graphic>
          </wp:inline>
        </w:drawing>
      </w:r>
    </w:p>
    <w:p w14:paraId="34DF28A9" w14:textId="77777777" w:rsidR="00C51B7D" w:rsidRDefault="00C51B7D" w:rsidP="00CC1556">
      <w:pPr>
        <w:jc w:val="center"/>
        <w:outlineLvl w:val="0"/>
        <w:rPr>
          <w:rFonts w:cs="Arial"/>
          <w:b/>
          <w:bCs/>
          <w:lang w:eastAsia="en-GB"/>
        </w:rPr>
      </w:pPr>
    </w:p>
    <w:p w14:paraId="7027AC3D" w14:textId="77777777" w:rsidR="00C51B7D" w:rsidRDefault="00C51B7D" w:rsidP="00CC1556">
      <w:pPr>
        <w:jc w:val="center"/>
        <w:outlineLvl w:val="0"/>
        <w:rPr>
          <w:rFonts w:cs="Arial"/>
          <w:b/>
          <w:bCs/>
          <w:lang w:eastAsia="en-GB"/>
        </w:rPr>
      </w:pPr>
    </w:p>
    <w:p w14:paraId="3D079FFD" w14:textId="77777777" w:rsidR="00C51B7D" w:rsidRDefault="00C51B7D" w:rsidP="00CC1556">
      <w:pPr>
        <w:jc w:val="center"/>
        <w:outlineLvl w:val="0"/>
        <w:rPr>
          <w:rFonts w:cs="Arial"/>
          <w:b/>
          <w:bCs/>
          <w:lang w:eastAsia="en-GB"/>
        </w:rPr>
      </w:pPr>
    </w:p>
    <w:p w14:paraId="68918240" w14:textId="77777777" w:rsidR="00C51B7D" w:rsidRDefault="00C51B7D" w:rsidP="00CC1556">
      <w:pPr>
        <w:jc w:val="center"/>
        <w:outlineLvl w:val="0"/>
        <w:rPr>
          <w:rFonts w:cs="Arial"/>
          <w:b/>
          <w:bCs/>
          <w:lang w:eastAsia="en-GB"/>
        </w:rPr>
      </w:pPr>
    </w:p>
    <w:p w14:paraId="313ECD2F" w14:textId="77777777" w:rsidR="00C51B7D" w:rsidRDefault="00C51B7D" w:rsidP="00CC1556">
      <w:pPr>
        <w:jc w:val="center"/>
        <w:outlineLvl w:val="0"/>
        <w:rPr>
          <w:rFonts w:cs="Arial"/>
          <w:b/>
          <w:bCs/>
          <w:lang w:eastAsia="en-GB"/>
        </w:rPr>
      </w:pPr>
    </w:p>
    <w:p w14:paraId="5152482F" w14:textId="77777777" w:rsidR="00C51B7D" w:rsidRDefault="00C51B7D" w:rsidP="00CC1556">
      <w:pPr>
        <w:jc w:val="center"/>
        <w:outlineLvl w:val="0"/>
        <w:rPr>
          <w:rFonts w:cs="Arial"/>
          <w:b/>
          <w:bCs/>
          <w:lang w:eastAsia="en-GB"/>
        </w:rPr>
      </w:pPr>
    </w:p>
    <w:p w14:paraId="5CA8112F" w14:textId="77777777" w:rsidR="00C51B7D" w:rsidRDefault="00C51B7D" w:rsidP="00CC1556">
      <w:pPr>
        <w:jc w:val="center"/>
        <w:outlineLvl w:val="0"/>
        <w:rPr>
          <w:rFonts w:cs="Arial"/>
          <w:b/>
          <w:bCs/>
          <w:lang w:eastAsia="en-GB"/>
        </w:rPr>
      </w:pPr>
    </w:p>
    <w:p w14:paraId="36A8174F" w14:textId="77777777" w:rsidR="00C51B7D" w:rsidRPr="00A45339" w:rsidRDefault="00C51B7D" w:rsidP="00CC1556">
      <w:pPr>
        <w:jc w:val="center"/>
        <w:outlineLvl w:val="0"/>
        <w:rPr>
          <w:rFonts w:cs="Arial"/>
          <w:b/>
          <w:bCs/>
          <w:sz w:val="44"/>
          <w:szCs w:val="44"/>
          <w:lang w:eastAsia="en-GB"/>
        </w:rPr>
      </w:pPr>
    </w:p>
    <w:p w14:paraId="6993065E" w14:textId="77777777" w:rsidR="00CC1556" w:rsidRPr="00A45339" w:rsidRDefault="00231980" w:rsidP="00CC1556">
      <w:pPr>
        <w:jc w:val="center"/>
        <w:outlineLvl w:val="0"/>
        <w:rPr>
          <w:rFonts w:cs="Arial"/>
          <w:sz w:val="44"/>
          <w:szCs w:val="44"/>
          <w:lang w:eastAsia="en-GB"/>
        </w:rPr>
      </w:pPr>
      <w:r>
        <w:rPr>
          <w:rFonts w:cs="Arial"/>
          <w:b/>
          <w:bCs/>
          <w:sz w:val="44"/>
          <w:szCs w:val="44"/>
          <w:lang w:eastAsia="en-GB"/>
        </w:rPr>
        <w:t>Standard Operating Procedure</w:t>
      </w:r>
    </w:p>
    <w:p w14:paraId="486827BA" w14:textId="77777777" w:rsidR="00CC1556" w:rsidRPr="00C51B7D" w:rsidRDefault="00CC1556" w:rsidP="00CC1556">
      <w:pPr>
        <w:jc w:val="center"/>
        <w:outlineLvl w:val="0"/>
        <w:rPr>
          <w:rFonts w:cs="Arial"/>
          <w:b/>
          <w:bCs/>
          <w:lang w:eastAsia="en-GB"/>
        </w:rPr>
      </w:pPr>
    </w:p>
    <w:p w14:paraId="5EC8F3C5" w14:textId="77777777" w:rsidR="002D5F7D" w:rsidRDefault="002D5F7D" w:rsidP="00CC1556">
      <w:pPr>
        <w:jc w:val="center"/>
        <w:rPr>
          <w:rFonts w:cs="Arial"/>
          <w:b/>
        </w:rPr>
      </w:pPr>
    </w:p>
    <w:p w14:paraId="5E3CA74E" w14:textId="77777777" w:rsidR="00CC1556" w:rsidRDefault="00DC5A17" w:rsidP="00CC1556">
      <w:pPr>
        <w:jc w:val="center"/>
        <w:rPr>
          <w:rFonts w:cs="Arial"/>
          <w:b/>
        </w:rPr>
      </w:pPr>
      <w:r>
        <w:rPr>
          <w:rFonts w:cs="Arial"/>
          <w:b/>
        </w:rPr>
        <w:t xml:space="preserve">Somerset </w:t>
      </w:r>
      <w:r w:rsidR="00302F51">
        <w:rPr>
          <w:rFonts w:cs="Arial"/>
          <w:b/>
        </w:rPr>
        <w:t>Mental Health and Social Care Complex Cases Panel</w:t>
      </w:r>
      <w:r w:rsidR="00CC1556" w:rsidRPr="00C51B7D">
        <w:rPr>
          <w:rFonts w:cs="Arial"/>
          <w:b/>
        </w:rPr>
        <w:t xml:space="preserve"> </w:t>
      </w:r>
    </w:p>
    <w:p w14:paraId="57EB33E6" w14:textId="77777777" w:rsidR="00101E11" w:rsidRDefault="00101E11" w:rsidP="00CC1556">
      <w:pPr>
        <w:jc w:val="center"/>
        <w:rPr>
          <w:rFonts w:cs="Arial"/>
          <w:b/>
        </w:rPr>
      </w:pPr>
    </w:p>
    <w:p w14:paraId="7532F337" w14:textId="526B6FCA" w:rsidR="00101E11" w:rsidRPr="00101E11" w:rsidRDefault="00101E11" w:rsidP="009E582C">
      <w:pPr>
        <w:rPr>
          <w:rFonts w:cs="Arial"/>
          <w:b/>
        </w:rPr>
      </w:pPr>
    </w:p>
    <w:p w14:paraId="3EA97E11" w14:textId="77777777" w:rsidR="00A40E51" w:rsidRPr="003E4267" w:rsidRDefault="00A40E51" w:rsidP="003E4267">
      <w:pPr>
        <w:tabs>
          <w:tab w:val="left" w:pos="993"/>
        </w:tabs>
        <w:spacing w:before="120" w:after="120"/>
        <w:jc w:val="both"/>
        <w:rPr>
          <w:rFonts w:cs="Arial"/>
          <w:b/>
          <w:bCs/>
        </w:rPr>
      </w:pPr>
    </w:p>
    <w:p w14:paraId="07561A09" w14:textId="77777777" w:rsidR="00612368" w:rsidRPr="00612368" w:rsidRDefault="00612368" w:rsidP="003E4267">
      <w:pPr>
        <w:spacing w:before="120" w:after="120"/>
        <w:ind w:left="720"/>
        <w:jc w:val="both"/>
        <w:rPr>
          <w:rFonts w:cs="Arial"/>
          <w:b/>
          <w:i/>
          <w:sz w:val="22"/>
          <w:szCs w:val="22"/>
        </w:rPr>
      </w:pPr>
    </w:p>
    <w:p w14:paraId="0D31862B" w14:textId="77777777" w:rsidR="00612368" w:rsidRPr="00612368" w:rsidRDefault="00612368" w:rsidP="003E4267">
      <w:pPr>
        <w:spacing w:before="120" w:after="120"/>
        <w:ind w:left="720"/>
        <w:jc w:val="both"/>
        <w:rPr>
          <w:rFonts w:cs="Arial"/>
          <w:b/>
          <w:i/>
          <w:sz w:val="22"/>
          <w:szCs w:val="22"/>
        </w:rPr>
      </w:pPr>
    </w:p>
    <w:p w14:paraId="3FF4CA41" w14:textId="77777777" w:rsidR="00612368" w:rsidRPr="00612368" w:rsidRDefault="00612368" w:rsidP="003E4267">
      <w:pPr>
        <w:spacing w:before="120" w:after="120"/>
        <w:ind w:left="720"/>
        <w:jc w:val="both"/>
        <w:rPr>
          <w:rFonts w:cs="Arial"/>
          <w:b/>
          <w:i/>
          <w:sz w:val="22"/>
          <w:szCs w:val="22"/>
        </w:rPr>
      </w:pPr>
    </w:p>
    <w:p w14:paraId="2D000704" w14:textId="77777777" w:rsidR="00612368" w:rsidRPr="00612368" w:rsidRDefault="00612368" w:rsidP="003E4267">
      <w:pPr>
        <w:spacing w:before="120" w:after="120"/>
        <w:ind w:left="720"/>
        <w:jc w:val="both"/>
        <w:rPr>
          <w:rFonts w:cs="Arial"/>
          <w:b/>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53"/>
        <w:gridCol w:w="4199"/>
      </w:tblGrid>
      <w:tr w:rsidR="00A40E51" w:rsidRPr="003E4267" w14:paraId="11A06FB8" w14:textId="77777777" w:rsidTr="00BC27F5">
        <w:tc>
          <w:tcPr>
            <w:tcW w:w="4820" w:type="dxa"/>
          </w:tcPr>
          <w:p w14:paraId="7519F167" w14:textId="77777777" w:rsidR="00A40E51" w:rsidRPr="003E4267" w:rsidRDefault="00A40E51" w:rsidP="003E4267">
            <w:pPr>
              <w:spacing w:before="120" w:after="120"/>
              <w:jc w:val="both"/>
              <w:rPr>
                <w:rFonts w:cs="Arial"/>
              </w:rPr>
            </w:pPr>
            <w:r w:rsidRPr="003E4267">
              <w:rPr>
                <w:rFonts w:cs="Arial"/>
              </w:rPr>
              <w:t>Version:</w:t>
            </w:r>
          </w:p>
        </w:tc>
        <w:tc>
          <w:tcPr>
            <w:tcW w:w="4252" w:type="dxa"/>
          </w:tcPr>
          <w:p w14:paraId="7F4EEB29" w14:textId="77777777" w:rsidR="00A40E51" w:rsidRPr="003E4267" w:rsidRDefault="00302F51" w:rsidP="003E4267">
            <w:pPr>
              <w:spacing w:before="120" w:after="120"/>
              <w:rPr>
                <w:rFonts w:cs="Arial"/>
              </w:rPr>
            </w:pPr>
            <w:r>
              <w:rPr>
                <w:rFonts w:cs="Arial"/>
              </w:rPr>
              <w:t>1.0</w:t>
            </w:r>
          </w:p>
        </w:tc>
      </w:tr>
      <w:tr w:rsidR="00A40E51" w:rsidRPr="003E4267" w14:paraId="0F4F8AD4" w14:textId="77777777" w:rsidTr="00BC27F5">
        <w:tc>
          <w:tcPr>
            <w:tcW w:w="4820" w:type="dxa"/>
          </w:tcPr>
          <w:p w14:paraId="52EAA801" w14:textId="77777777" w:rsidR="00A40E51" w:rsidRPr="003E4267" w:rsidRDefault="00A40E51" w:rsidP="001B1EC3">
            <w:pPr>
              <w:spacing w:before="120" w:after="120"/>
              <w:jc w:val="both"/>
              <w:rPr>
                <w:rFonts w:cs="Arial"/>
              </w:rPr>
            </w:pPr>
            <w:r w:rsidRPr="003E4267">
              <w:rPr>
                <w:rFonts w:cs="Arial"/>
              </w:rPr>
              <w:t xml:space="preserve">Date </w:t>
            </w:r>
            <w:r w:rsidR="00612368">
              <w:rPr>
                <w:rFonts w:cs="Arial"/>
              </w:rPr>
              <w:t xml:space="preserve">of </w:t>
            </w:r>
            <w:r w:rsidR="001B1EC3">
              <w:rPr>
                <w:rFonts w:cs="Arial"/>
              </w:rPr>
              <w:t>Issue</w:t>
            </w:r>
            <w:r w:rsidRPr="003E4267">
              <w:rPr>
                <w:rFonts w:cs="Arial"/>
              </w:rPr>
              <w:t>:</w:t>
            </w:r>
          </w:p>
        </w:tc>
        <w:tc>
          <w:tcPr>
            <w:tcW w:w="4252" w:type="dxa"/>
          </w:tcPr>
          <w:p w14:paraId="0F3C171E" w14:textId="4B4979E7" w:rsidR="00A40E51" w:rsidRPr="003E4267" w:rsidRDefault="006933F1" w:rsidP="003E4267">
            <w:pPr>
              <w:spacing w:before="120" w:after="120"/>
              <w:rPr>
                <w:rFonts w:cs="Arial"/>
              </w:rPr>
            </w:pPr>
            <w:r>
              <w:rPr>
                <w:rFonts w:cs="Arial"/>
              </w:rPr>
              <w:t>January</w:t>
            </w:r>
            <w:r w:rsidR="00302F51">
              <w:rPr>
                <w:rFonts w:cs="Arial"/>
              </w:rPr>
              <w:t xml:space="preserve"> 202</w:t>
            </w:r>
            <w:r>
              <w:rPr>
                <w:rFonts w:cs="Arial"/>
              </w:rPr>
              <w:t>2</w:t>
            </w:r>
          </w:p>
        </w:tc>
      </w:tr>
      <w:tr w:rsidR="00A40E51" w:rsidRPr="003E4267" w14:paraId="5F2B57A8" w14:textId="77777777" w:rsidTr="00BC27F5">
        <w:tc>
          <w:tcPr>
            <w:tcW w:w="4820" w:type="dxa"/>
          </w:tcPr>
          <w:p w14:paraId="798DB1F1" w14:textId="77777777" w:rsidR="00A40E51" w:rsidRPr="003E4267" w:rsidRDefault="00612368" w:rsidP="003E4267">
            <w:pPr>
              <w:spacing w:before="120" w:after="120"/>
              <w:jc w:val="both"/>
              <w:rPr>
                <w:rFonts w:cs="Arial"/>
              </w:rPr>
            </w:pPr>
            <w:r>
              <w:rPr>
                <w:rFonts w:cs="Arial"/>
              </w:rPr>
              <w:t>Review D</w:t>
            </w:r>
            <w:r w:rsidR="00A40E51" w:rsidRPr="003E4267">
              <w:rPr>
                <w:rFonts w:cs="Arial"/>
              </w:rPr>
              <w:t>ate:</w:t>
            </w:r>
          </w:p>
        </w:tc>
        <w:tc>
          <w:tcPr>
            <w:tcW w:w="4252" w:type="dxa"/>
          </w:tcPr>
          <w:p w14:paraId="4BF05CF7" w14:textId="4228E0A3" w:rsidR="00A40E51" w:rsidRPr="00A72BDE" w:rsidRDefault="009C48EC" w:rsidP="003E4267">
            <w:pPr>
              <w:spacing w:before="120" w:after="120"/>
              <w:rPr>
                <w:rFonts w:cs="Arial"/>
              </w:rPr>
            </w:pPr>
            <w:r>
              <w:rPr>
                <w:rFonts w:cs="Arial"/>
              </w:rPr>
              <w:t>December</w:t>
            </w:r>
            <w:r w:rsidR="00302F51">
              <w:rPr>
                <w:rFonts w:cs="Arial"/>
              </w:rPr>
              <w:t xml:space="preserve"> 202</w:t>
            </w:r>
            <w:r w:rsidR="00EF234E">
              <w:rPr>
                <w:rFonts w:cs="Arial"/>
              </w:rPr>
              <w:t>2</w:t>
            </w:r>
          </w:p>
        </w:tc>
      </w:tr>
      <w:tr w:rsidR="00A40E51" w:rsidRPr="003E4267" w14:paraId="6AE0A192" w14:textId="77777777" w:rsidTr="00BC27F5">
        <w:tc>
          <w:tcPr>
            <w:tcW w:w="4820" w:type="dxa"/>
          </w:tcPr>
          <w:p w14:paraId="1CCE9F66" w14:textId="77777777" w:rsidR="00A40E51" w:rsidRPr="003E4267" w:rsidRDefault="00612368" w:rsidP="003E4267">
            <w:pPr>
              <w:spacing w:before="120" w:after="120"/>
              <w:jc w:val="both"/>
              <w:rPr>
                <w:rFonts w:cs="Arial"/>
              </w:rPr>
            </w:pPr>
            <w:r>
              <w:rPr>
                <w:rFonts w:cs="Arial"/>
              </w:rPr>
              <w:t>Applies to</w:t>
            </w:r>
            <w:r w:rsidR="00A40E51" w:rsidRPr="003E4267">
              <w:rPr>
                <w:rFonts w:cs="Arial"/>
              </w:rPr>
              <w:t>:</w:t>
            </w:r>
          </w:p>
        </w:tc>
        <w:tc>
          <w:tcPr>
            <w:tcW w:w="4252" w:type="dxa"/>
          </w:tcPr>
          <w:p w14:paraId="3DC5DDF4" w14:textId="77777777" w:rsidR="00A40E51" w:rsidRPr="00A45339" w:rsidRDefault="00302F51" w:rsidP="000D2564">
            <w:pPr>
              <w:spacing w:before="120" w:after="120"/>
              <w:rPr>
                <w:rFonts w:cs="Arial"/>
              </w:rPr>
            </w:pPr>
            <w:r>
              <w:rPr>
                <w:rFonts w:cs="Arial"/>
              </w:rPr>
              <w:t>Complex Cases Funding Panel</w:t>
            </w:r>
          </w:p>
        </w:tc>
      </w:tr>
    </w:tbl>
    <w:p w14:paraId="46A34644" w14:textId="77777777" w:rsidR="00A40E51" w:rsidRPr="007B1018" w:rsidRDefault="00910CEE" w:rsidP="003E4267">
      <w:pPr>
        <w:pStyle w:val="Heading6"/>
        <w:spacing w:before="120" w:after="120"/>
        <w:rPr>
          <w:rFonts w:ascii="Arial" w:hAnsi="Arial" w:cs="Arial"/>
          <w:b w:val="0"/>
          <w:i/>
          <w:color w:val="FF0000"/>
          <w:sz w:val="20"/>
          <w:szCs w:val="20"/>
        </w:rPr>
      </w:pPr>
      <w:r w:rsidRPr="003E4267">
        <w:rPr>
          <w:rFonts w:ascii="Arial" w:hAnsi="Arial" w:cs="Arial"/>
          <w:noProof/>
          <w:sz w:val="24"/>
          <w:szCs w:val="24"/>
        </w:rPr>
        <mc:AlternateContent>
          <mc:Choice Requires="wps">
            <w:drawing>
              <wp:anchor distT="0" distB="0" distL="114300" distR="114300" simplePos="0" relativeHeight="251657728" behindDoc="0" locked="0" layoutInCell="1" allowOverlap="1" wp14:anchorId="6958B1A3" wp14:editId="0AA39FF9">
                <wp:simplePos x="0" y="0"/>
                <wp:positionH relativeFrom="column">
                  <wp:posOffset>-95885</wp:posOffset>
                </wp:positionH>
                <wp:positionV relativeFrom="paragraph">
                  <wp:posOffset>232410</wp:posOffset>
                </wp:positionV>
                <wp:extent cx="5838825" cy="370205"/>
                <wp:effectExtent l="4445" t="1270" r="0" b="0"/>
                <wp:wrapNone/>
                <wp:docPr id="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0C4F5" w14:textId="77777777" w:rsidR="00066901" w:rsidRDefault="00066901" w:rsidP="00A40E51">
                            <w:pPr>
                              <w:pStyle w:val="BodyText2"/>
                              <w:rPr>
                                <w:b/>
                                <w:bCs/>
                                <w:sz w:val="20"/>
                              </w:rPr>
                            </w:pPr>
                            <w:r>
                              <w:rPr>
                                <w:b/>
                                <w:bCs/>
                                <w:sz w:val="20"/>
                              </w:rPr>
                              <w:t>This document is available in other formats, including easy read summary versions and other languages upon request.  Should you require this please contact Document Author.</w:t>
                            </w:r>
                          </w:p>
                          <w:p w14:paraId="4B60A5D2" w14:textId="77777777" w:rsidR="00066901" w:rsidRDefault="00066901" w:rsidP="00A40E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8B1A3" id="_x0000_t202" coordsize="21600,21600" o:spt="202" path="m,l,21600r21600,l21600,xe">
                <v:stroke joinstyle="miter"/>
                <v:path gradientshapeok="t" o:connecttype="rect"/>
              </v:shapetype>
              <v:shape id="Text Box 153" o:spid="_x0000_s1026" type="#_x0000_t202" style="position:absolute;margin-left:-7.55pt;margin-top:18.3pt;width:459.75pt;height:2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" stroked="f">
                <v:textbox>
                  <w:txbxContent>
                    <w:p w14:paraId="1110C4F5" w14:textId="77777777" w:rsidR="00066901" w:rsidRDefault="00066901" w:rsidP="00A40E51">
                      <w:pPr>
                        <w:pStyle w:val="BodyText2"/>
                        <w:rPr>
                          <w:b/>
                          <w:bCs/>
                          <w:sz w:val="20"/>
                        </w:rPr>
                      </w:pPr>
                      <w:r>
                        <w:rPr>
                          <w:b/>
                          <w:bCs/>
                          <w:sz w:val="20"/>
                        </w:rPr>
                        <w:t>This document is available in other formats, including easy read summary versions and other languages upon request.  Should you require this please contact Document Author.</w:t>
                      </w:r>
                    </w:p>
                    <w:p w14:paraId="4B60A5D2" w14:textId="77777777" w:rsidR="00066901" w:rsidRDefault="00066901" w:rsidP="00A40E51"/>
                  </w:txbxContent>
                </v:textbox>
              </v:shape>
            </w:pict>
          </mc:Fallback>
        </mc:AlternateContent>
      </w:r>
      <w:r w:rsidR="00A40E51" w:rsidRPr="003E4267">
        <w:rPr>
          <w:rFonts w:ascii="Arial" w:hAnsi="Arial" w:cs="Arial"/>
          <w:sz w:val="24"/>
          <w:szCs w:val="24"/>
        </w:rPr>
        <w:br w:type="page"/>
        <w:t>DOCUMENT CONTROL</w:t>
      </w:r>
      <w:r w:rsidR="000748E5">
        <w:rPr>
          <w:rFonts w:ascii="Arial" w:hAnsi="Arial" w:cs="Arial"/>
          <w:sz w:val="24"/>
          <w:szCs w:val="24"/>
        </w:rPr>
        <w:tab/>
      </w:r>
      <w:r w:rsidR="000748E5">
        <w:rPr>
          <w:rFonts w:ascii="Arial" w:hAnsi="Arial" w:cs="Arial"/>
          <w:sz w:val="24"/>
          <w:szCs w:val="24"/>
        </w:rPr>
        <w:tab/>
      </w:r>
      <w:r w:rsidR="000748E5">
        <w:rPr>
          <w:rFonts w:ascii="Arial" w:hAnsi="Arial" w:cs="Arial"/>
          <w:sz w:val="24"/>
          <w:szCs w:val="24"/>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68"/>
        <w:gridCol w:w="1800"/>
        <w:gridCol w:w="150"/>
        <w:gridCol w:w="2910"/>
      </w:tblGrid>
      <w:tr w:rsidR="00A40E51" w:rsidRPr="003E4267" w14:paraId="6738C979" w14:textId="77777777" w:rsidTr="000748E5">
        <w:tc>
          <w:tcPr>
            <w:tcW w:w="2660" w:type="dxa"/>
          </w:tcPr>
          <w:p w14:paraId="00CB6BA9" w14:textId="77777777" w:rsidR="00A40E51" w:rsidRPr="000748E5" w:rsidRDefault="00A40E51" w:rsidP="003E4267">
            <w:pPr>
              <w:pStyle w:val="Header"/>
              <w:tabs>
                <w:tab w:val="clear" w:pos="4153"/>
                <w:tab w:val="clear" w:pos="8306"/>
              </w:tabs>
              <w:spacing w:before="120" w:after="120"/>
              <w:rPr>
                <w:rFonts w:cs="Arial"/>
                <w:b/>
                <w:bCs/>
              </w:rPr>
            </w:pPr>
            <w:r w:rsidRPr="000748E5">
              <w:rPr>
                <w:rFonts w:cs="Arial"/>
                <w:b/>
                <w:bCs/>
              </w:rPr>
              <w:t xml:space="preserve">Reference Number </w:t>
            </w:r>
          </w:p>
          <w:p w14:paraId="16EDD46A" w14:textId="77777777" w:rsidR="00A40E51" w:rsidRPr="000748E5" w:rsidRDefault="00A40E51" w:rsidP="003E4267">
            <w:pPr>
              <w:spacing w:before="120" w:after="120"/>
              <w:jc w:val="both"/>
              <w:rPr>
                <w:rFonts w:cs="Arial"/>
              </w:rPr>
            </w:pPr>
          </w:p>
        </w:tc>
        <w:tc>
          <w:tcPr>
            <w:tcW w:w="1768" w:type="dxa"/>
          </w:tcPr>
          <w:p w14:paraId="3CFAABD1" w14:textId="77777777" w:rsidR="00A40E51" w:rsidRPr="000748E5" w:rsidRDefault="00A40E51" w:rsidP="003E4267">
            <w:pPr>
              <w:pStyle w:val="Header"/>
              <w:tabs>
                <w:tab w:val="clear" w:pos="4153"/>
                <w:tab w:val="clear" w:pos="8306"/>
              </w:tabs>
              <w:spacing w:before="120" w:after="120"/>
              <w:rPr>
                <w:rFonts w:cs="Arial"/>
                <w:b/>
                <w:bCs/>
              </w:rPr>
            </w:pPr>
            <w:r w:rsidRPr="000748E5">
              <w:rPr>
                <w:rFonts w:cs="Arial"/>
                <w:b/>
                <w:bCs/>
              </w:rPr>
              <w:t>Version</w:t>
            </w:r>
          </w:p>
          <w:p w14:paraId="779E56F0" w14:textId="5AA3E495" w:rsidR="00A40E51" w:rsidRPr="000748E5" w:rsidRDefault="009C48EC" w:rsidP="003E4267">
            <w:pPr>
              <w:spacing w:before="120" w:after="120"/>
              <w:jc w:val="both"/>
              <w:rPr>
                <w:rFonts w:cs="Arial"/>
              </w:rPr>
            </w:pPr>
            <w:r>
              <w:rPr>
                <w:rFonts w:cs="Arial"/>
              </w:rPr>
              <w:t>1.0</w:t>
            </w:r>
          </w:p>
        </w:tc>
        <w:tc>
          <w:tcPr>
            <w:tcW w:w="1800" w:type="dxa"/>
          </w:tcPr>
          <w:p w14:paraId="107A2DD3" w14:textId="77777777" w:rsidR="00A40E51" w:rsidRPr="000748E5" w:rsidRDefault="00A40E51" w:rsidP="003E4267">
            <w:pPr>
              <w:pStyle w:val="Header"/>
              <w:tabs>
                <w:tab w:val="clear" w:pos="4153"/>
                <w:tab w:val="clear" w:pos="8306"/>
              </w:tabs>
              <w:spacing w:before="120" w:after="120"/>
              <w:jc w:val="both"/>
              <w:rPr>
                <w:rFonts w:cs="Arial"/>
                <w:b/>
                <w:bCs/>
              </w:rPr>
            </w:pPr>
            <w:r w:rsidRPr="000748E5">
              <w:rPr>
                <w:rFonts w:cs="Arial"/>
                <w:b/>
                <w:bCs/>
              </w:rPr>
              <w:t>Status</w:t>
            </w:r>
          </w:p>
          <w:p w14:paraId="3A3CBC36" w14:textId="77777777" w:rsidR="00A40E51" w:rsidRPr="000748E5" w:rsidRDefault="00A40E51" w:rsidP="003E4267">
            <w:pPr>
              <w:spacing w:before="120" w:after="120"/>
              <w:jc w:val="both"/>
              <w:rPr>
                <w:rFonts w:cs="Arial"/>
              </w:rPr>
            </w:pPr>
          </w:p>
        </w:tc>
        <w:tc>
          <w:tcPr>
            <w:tcW w:w="3060" w:type="dxa"/>
            <w:gridSpan w:val="2"/>
          </w:tcPr>
          <w:p w14:paraId="470D452C" w14:textId="77777777" w:rsidR="00A40E51" w:rsidRPr="000748E5" w:rsidRDefault="00A40E51" w:rsidP="003E4267">
            <w:pPr>
              <w:spacing w:before="120" w:after="120"/>
              <w:jc w:val="both"/>
              <w:rPr>
                <w:rFonts w:cs="Arial"/>
                <w:b/>
                <w:bCs/>
              </w:rPr>
            </w:pPr>
            <w:r w:rsidRPr="000748E5">
              <w:rPr>
                <w:rFonts w:cs="Arial"/>
                <w:b/>
                <w:bCs/>
              </w:rPr>
              <w:t>Author</w:t>
            </w:r>
          </w:p>
          <w:p w14:paraId="632395DA" w14:textId="686807C4" w:rsidR="00A40E51" w:rsidRPr="000748E5" w:rsidRDefault="009C48EC" w:rsidP="006A6697">
            <w:pPr>
              <w:spacing w:after="120"/>
              <w:jc w:val="both"/>
              <w:rPr>
                <w:rFonts w:cs="Arial"/>
                <w:bCs/>
              </w:rPr>
            </w:pPr>
            <w:r>
              <w:rPr>
                <w:rFonts w:cs="Arial"/>
                <w:bCs/>
              </w:rPr>
              <w:t>Eugene Stevenson</w:t>
            </w:r>
          </w:p>
        </w:tc>
      </w:tr>
      <w:tr w:rsidR="005E4477" w:rsidRPr="003E4267" w14:paraId="796AB1AE" w14:textId="77777777" w:rsidTr="000748E5">
        <w:trPr>
          <w:trHeight w:val="555"/>
        </w:trPr>
        <w:tc>
          <w:tcPr>
            <w:tcW w:w="2660" w:type="dxa"/>
            <w:vAlign w:val="center"/>
          </w:tcPr>
          <w:p w14:paraId="08961BC6" w14:textId="77777777" w:rsidR="005E4477" w:rsidRPr="000748E5" w:rsidRDefault="005E4477" w:rsidP="003E4267">
            <w:pPr>
              <w:pStyle w:val="Heading7"/>
              <w:spacing w:before="120" w:after="120"/>
              <w:rPr>
                <w:rFonts w:ascii="Arial" w:hAnsi="Arial" w:cs="Arial"/>
                <w:b/>
              </w:rPr>
            </w:pPr>
            <w:r w:rsidRPr="000748E5">
              <w:rPr>
                <w:rFonts w:ascii="Arial" w:hAnsi="Arial" w:cs="Arial"/>
                <w:b/>
              </w:rPr>
              <w:t>Amendments</w:t>
            </w:r>
          </w:p>
        </w:tc>
        <w:tc>
          <w:tcPr>
            <w:tcW w:w="6628" w:type="dxa"/>
            <w:gridSpan w:val="4"/>
            <w:vAlign w:val="center"/>
          </w:tcPr>
          <w:p w14:paraId="01B4353A" w14:textId="4BC97E44" w:rsidR="00160B59" w:rsidRPr="000748E5" w:rsidRDefault="009C48EC" w:rsidP="00231980">
            <w:pPr>
              <w:pStyle w:val="Header"/>
              <w:tabs>
                <w:tab w:val="clear" w:pos="4153"/>
                <w:tab w:val="clear" w:pos="8306"/>
              </w:tabs>
              <w:spacing w:before="120" w:after="120"/>
              <w:rPr>
                <w:rFonts w:cs="Arial"/>
              </w:rPr>
            </w:pPr>
            <w:r>
              <w:rPr>
                <w:rFonts w:cs="Arial"/>
              </w:rPr>
              <w:t>None</w:t>
            </w:r>
          </w:p>
        </w:tc>
      </w:tr>
      <w:tr w:rsidR="00A40E51" w:rsidRPr="003E4267" w14:paraId="1F007A40" w14:textId="77777777" w:rsidTr="000748E5">
        <w:trPr>
          <w:trHeight w:val="555"/>
        </w:trPr>
        <w:tc>
          <w:tcPr>
            <w:tcW w:w="2660" w:type="dxa"/>
            <w:vAlign w:val="center"/>
          </w:tcPr>
          <w:p w14:paraId="0D2F6896" w14:textId="77777777" w:rsidR="00A40E51" w:rsidRPr="000748E5" w:rsidRDefault="00A40E51" w:rsidP="003D46EE">
            <w:pPr>
              <w:pStyle w:val="Heading7"/>
              <w:spacing w:before="120" w:after="120"/>
              <w:rPr>
                <w:rFonts w:ascii="Arial" w:hAnsi="Arial" w:cs="Arial"/>
                <w:b/>
              </w:rPr>
            </w:pPr>
            <w:r w:rsidRPr="000748E5">
              <w:rPr>
                <w:rFonts w:ascii="Arial" w:hAnsi="Arial" w:cs="Arial"/>
                <w:b/>
              </w:rPr>
              <w:t xml:space="preserve">Approving body </w:t>
            </w:r>
          </w:p>
        </w:tc>
        <w:tc>
          <w:tcPr>
            <w:tcW w:w="3718" w:type="dxa"/>
            <w:gridSpan w:val="3"/>
            <w:vAlign w:val="center"/>
          </w:tcPr>
          <w:p w14:paraId="6ECBFD29" w14:textId="43F53AAD" w:rsidR="00A40E51" w:rsidRPr="000748E5" w:rsidRDefault="009C48EC" w:rsidP="002423F3">
            <w:pPr>
              <w:spacing w:before="120" w:after="120"/>
              <w:rPr>
                <w:rFonts w:cs="Arial"/>
              </w:rPr>
            </w:pPr>
            <w:r>
              <w:rPr>
                <w:rFonts w:cs="Arial"/>
              </w:rPr>
              <w:t>MH&amp;LD Strategic Cell/Oversight Group</w:t>
            </w:r>
          </w:p>
        </w:tc>
        <w:tc>
          <w:tcPr>
            <w:tcW w:w="2910" w:type="dxa"/>
            <w:vAlign w:val="center"/>
          </w:tcPr>
          <w:p w14:paraId="22BBF05A" w14:textId="1BE76BBA" w:rsidR="00A40E51" w:rsidRPr="000748E5" w:rsidRDefault="00A40E51" w:rsidP="003E4267">
            <w:pPr>
              <w:pStyle w:val="Header"/>
              <w:tabs>
                <w:tab w:val="clear" w:pos="4153"/>
                <w:tab w:val="clear" w:pos="8306"/>
              </w:tabs>
              <w:spacing w:before="120" w:after="120"/>
              <w:rPr>
                <w:rFonts w:cs="Arial"/>
              </w:rPr>
            </w:pPr>
            <w:r w:rsidRPr="000748E5">
              <w:rPr>
                <w:rFonts w:cs="Arial"/>
              </w:rPr>
              <w:t xml:space="preserve">Date: </w:t>
            </w:r>
            <w:r w:rsidR="009C48EC">
              <w:rPr>
                <w:rFonts w:cs="Arial"/>
              </w:rPr>
              <w:t>December 2021</w:t>
            </w:r>
          </w:p>
        </w:tc>
      </w:tr>
      <w:tr w:rsidR="00A40E51" w:rsidRPr="003E4267" w14:paraId="6F07DC03" w14:textId="77777777" w:rsidTr="000748E5">
        <w:trPr>
          <w:trHeight w:val="555"/>
        </w:trPr>
        <w:tc>
          <w:tcPr>
            <w:tcW w:w="2660" w:type="dxa"/>
            <w:vAlign w:val="center"/>
          </w:tcPr>
          <w:p w14:paraId="3A898AF1" w14:textId="77777777" w:rsidR="00A40E51" w:rsidRPr="000748E5" w:rsidRDefault="00A40E51" w:rsidP="00470677">
            <w:pPr>
              <w:spacing w:before="120" w:after="120"/>
              <w:rPr>
                <w:rFonts w:cs="Arial"/>
                <w:b/>
                <w:bCs/>
              </w:rPr>
            </w:pPr>
            <w:r w:rsidRPr="000748E5">
              <w:rPr>
                <w:rFonts w:cs="Arial"/>
                <w:b/>
              </w:rPr>
              <w:t xml:space="preserve">Ratification Body </w:t>
            </w:r>
          </w:p>
        </w:tc>
        <w:tc>
          <w:tcPr>
            <w:tcW w:w="3718" w:type="dxa"/>
            <w:gridSpan w:val="3"/>
            <w:vAlign w:val="center"/>
          </w:tcPr>
          <w:p w14:paraId="49A41C63" w14:textId="5C5348B4" w:rsidR="00A40E51" w:rsidRPr="000748E5" w:rsidRDefault="009C48EC" w:rsidP="00470677">
            <w:pPr>
              <w:pStyle w:val="Header"/>
              <w:tabs>
                <w:tab w:val="clear" w:pos="4153"/>
                <w:tab w:val="clear" w:pos="8306"/>
              </w:tabs>
              <w:spacing w:before="120" w:after="120"/>
              <w:rPr>
                <w:rFonts w:cs="Arial"/>
              </w:rPr>
            </w:pPr>
            <w:r>
              <w:rPr>
                <w:rFonts w:cs="Arial"/>
              </w:rPr>
              <w:t>As above</w:t>
            </w:r>
          </w:p>
        </w:tc>
        <w:tc>
          <w:tcPr>
            <w:tcW w:w="2910" w:type="dxa"/>
            <w:vAlign w:val="center"/>
          </w:tcPr>
          <w:p w14:paraId="37E1DDD4" w14:textId="38FFD673" w:rsidR="00A40E51" w:rsidRPr="000748E5" w:rsidRDefault="00A40E51" w:rsidP="002D5F7D">
            <w:pPr>
              <w:spacing w:before="120" w:after="120"/>
              <w:rPr>
                <w:rFonts w:cs="Arial"/>
              </w:rPr>
            </w:pPr>
            <w:r w:rsidRPr="000748E5">
              <w:rPr>
                <w:rFonts w:cs="Arial"/>
              </w:rPr>
              <w:t>Date:</w:t>
            </w:r>
            <w:r w:rsidR="00065330">
              <w:rPr>
                <w:rFonts w:cs="Arial"/>
              </w:rPr>
              <w:t xml:space="preserve"> </w:t>
            </w:r>
            <w:r w:rsidR="009C48EC">
              <w:rPr>
                <w:rFonts w:cs="Arial"/>
              </w:rPr>
              <w:t>December 2021</w:t>
            </w:r>
          </w:p>
        </w:tc>
      </w:tr>
      <w:tr w:rsidR="00A40E51" w:rsidRPr="003E4267" w14:paraId="02DF5AD8" w14:textId="77777777" w:rsidTr="000748E5">
        <w:trPr>
          <w:trHeight w:val="555"/>
        </w:trPr>
        <w:tc>
          <w:tcPr>
            <w:tcW w:w="2660" w:type="dxa"/>
            <w:vAlign w:val="center"/>
          </w:tcPr>
          <w:p w14:paraId="1B9062AB" w14:textId="77777777" w:rsidR="00A40E51" w:rsidRPr="000748E5" w:rsidRDefault="00A40E51" w:rsidP="003E4267">
            <w:pPr>
              <w:spacing w:before="120" w:after="120"/>
              <w:rPr>
                <w:rFonts w:cs="Arial"/>
                <w:b/>
                <w:bCs/>
              </w:rPr>
            </w:pPr>
            <w:r w:rsidRPr="000748E5">
              <w:rPr>
                <w:rFonts w:cs="Arial"/>
                <w:b/>
                <w:bCs/>
              </w:rPr>
              <w:t>Date of issue</w:t>
            </w:r>
          </w:p>
        </w:tc>
        <w:tc>
          <w:tcPr>
            <w:tcW w:w="6628" w:type="dxa"/>
            <w:gridSpan w:val="4"/>
            <w:vAlign w:val="center"/>
          </w:tcPr>
          <w:p w14:paraId="0D25EC1A" w14:textId="56C21AA1" w:rsidR="00A40E51" w:rsidRPr="00065330" w:rsidRDefault="009C48EC" w:rsidP="003E4267">
            <w:pPr>
              <w:spacing w:before="120" w:after="120"/>
              <w:rPr>
                <w:rFonts w:cs="Arial"/>
                <w:bCs/>
              </w:rPr>
            </w:pPr>
            <w:r>
              <w:rPr>
                <w:rFonts w:cs="Arial"/>
                <w:bCs/>
              </w:rPr>
              <w:t>3/01/2022</w:t>
            </w:r>
          </w:p>
        </w:tc>
      </w:tr>
      <w:tr w:rsidR="00A40E51" w:rsidRPr="003E4267" w14:paraId="71F31B3A" w14:textId="77777777" w:rsidTr="000748E5">
        <w:trPr>
          <w:trHeight w:val="555"/>
        </w:trPr>
        <w:tc>
          <w:tcPr>
            <w:tcW w:w="2660" w:type="dxa"/>
            <w:vAlign w:val="center"/>
          </w:tcPr>
          <w:p w14:paraId="4DACC930" w14:textId="77777777" w:rsidR="00A40E51" w:rsidRPr="000748E5" w:rsidRDefault="00A40E51" w:rsidP="003E4267">
            <w:pPr>
              <w:spacing w:before="120" w:after="120"/>
              <w:rPr>
                <w:rFonts w:cs="Arial"/>
                <w:b/>
                <w:bCs/>
              </w:rPr>
            </w:pPr>
            <w:r w:rsidRPr="000748E5">
              <w:rPr>
                <w:rFonts w:cs="Arial"/>
                <w:b/>
                <w:bCs/>
              </w:rPr>
              <w:t>Review date</w:t>
            </w:r>
          </w:p>
        </w:tc>
        <w:tc>
          <w:tcPr>
            <w:tcW w:w="6628" w:type="dxa"/>
            <w:gridSpan w:val="4"/>
            <w:vAlign w:val="center"/>
          </w:tcPr>
          <w:p w14:paraId="78AF2388" w14:textId="1AB6F9CC" w:rsidR="00A40E51" w:rsidRPr="00065330" w:rsidRDefault="009C48EC" w:rsidP="00065330">
            <w:pPr>
              <w:spacing w:before="120" w:after="120"/>
              <w:rPr>
                <w:rFonts w:cs="Arial"/>
                <w:bCs/>
              </w:rPr>
            </w:pPr>
            <w:r>
              <w:rPr>
                <w:rFonts w:cs="Arial"/>
                <w:bCs/>
              </w:rPr>
              <w:t>3/</w:t>
            </w:r>
            <w:r w:rsidR="006933F1">
              <w:rPr>
                <w:rFonts w:cs="Arial"/>
                <w:bCs/>
              </w:rPr>
              <w:t>12</w:t>
            </w:r>
            <w:r>
              <w:rPr>
                <w:rFonts w:cs="Arial"/>
                <w:bCs/>
              </w:rPr>
              <w:t>/202</w:t>
            </w:r>
            <w:r w:rsidR="00EF234E">
              <w:rPr>
                <w:rFonts w:cs="Arial"/>
                <w:bCs/>
              </w:rPr>
              <w:t>2 (First Initial Review)</w:t>
            </w:r>
          </w:p>
        </w:tc>
      </w:tr>
      <w:tr w:rsidR="00A40E51" w:rsidRPr="003E4267" w14:paraId="63B94165" w14:textId="77777777" w:rsidTr="000748E5">
        <w:trPr>
          <w:trHeight w:val="555"/>
        </w:trPr>
        <w:tc>
          <w:tcPr>
            <w:tcW w:w="2660" w:type="dxa"/>
            <w:vAlign w:val="center"/>
          </w:tcPr>
          <w:p w14:paraId="166885F8" w14:textId="77777777" w:rsidR="00A40E51" w:rsidRPr="000748E5" w:rsidRDefault="000A55AD" w:rsidP="00470677">
            <w:pPr>
              <w:spacing w:before="120" w:after="120"/>
              <w:rPr>
                <w:rFonts w:cs="Arial"/>
                <w:b/>
                <w:bCs/>
              </w:rPr>
            </w:pPr>
            <w:r w:rsidRPr="000748E5">
              <w:rPr>
                <w:rFonts w:cs="Arial"/>
                <w:b/>
                <w:bCs/>
              </w:rPr>
              <w:t>Contact for Review</w:t>
            </w:r>
          </w:p>
        </w:tc>
        <w:tc>
          <w:tcPr>
            <w:tcW w:w="6628" w:type="dxa"/>
            <w:gridSpan w:val="4"/>
            <w:vAlign w:val="center"/>
          </w:tcPr>
          <w:p w14:paraId="42E84559" w14:textId="702BAC6D" w:rsidR="00A40E51" w:rsidRPr="000748E5" w:rsidRDefault="009C48EC" w:rsidP="003E4267">
            <w:pPr>
              <w:spacing w:before="120" w:after="120"/>
              <w:rPr>
                <w:rFonts w:cs="Arial"/>
              </w:rPr>
            </w:pPr>
            <w:r>
              <w:rPr>
                <w:rFonts w:cs="Arial"/>
              </w:rPr>
              <w:t>Eugene Stevenson</w:t>
            </w:r>
          </w:p>
        </w:tc>
      </w:tr>
      <w:tr w:rsidR="007B1018" w:rsidRPr="003E4267" w14:paraId="54DED211" w14:textId="77777777" w:rsidTr="000748E5">
        <w:trPr>
          <w:trHeight w:val="555"/>
        </w:trPr>
        <w:tc>
          <w:tcPr>
            <w:tcW w:w="2660" w:type="dxa"/>
            <w:vAlign w:val="center"/>
          </w:tcPr>
          <w:p w14:paraId="550EA644" w14:textId="77777777" w:rsidR="007B1018" w:rsidRPr="000748E5" w:rsidRDefault="007B1018" w:rsidP="003E4267">
            <w:pPr>
              <w:spacing w:before="120" w:after="120"/>
              <w:rPr>
                <w:rFonts w:cs="Arial"/>
                <w:b/>
                <w:bCs/>
              </w:rPr>
            </w:pPr>
            <w:r w:rsidRPr="000748E5">
              <w:rPr>
                <w:rFonts w:cs="Arial"/>
                <w:b/>
              </w:rPr>
              <w:t>Lead Director</w:t>
            </w:r>
          </w:p>
        </w:tc>
        <w:tc>
          <w:tcPr>
            <w:tcW w:w="6628" w:type="dxa"/>
            <w:gridSpan w:val="4"/>
            <w:vAlign w:val="center"/>
          </w:tcPr>
          <w:p w14:paraId="2E0D7218" w14:textId="353E3C09" w:rsidR="007B1018" w:rsidRPr="000748E5" w:rsidRDefault="009C48EC" w:rsidP="00FA1E16">
            <w:pPr>
              <w:spacing w:before="120" w:after="120"/>
              <w:rPr>
                <w:rFonts w:cs="Arial"/>
              </w:rPr>
            </w:pPr>
            <w:r>
              <w:rPr>
                <w:rFonts w:cs="Arial"/>
              </w:rPr>
              <w:t>MH&amp;LD Strategic Cell/Oversight Group (ICB, SCC +SFT)</w:t>
            </w:r>
          </w:p>
        </w:tc>
      </w:tr>
    </w:tbl>
    <w:p w14:paraId="032DBDBB" w14:textId="77777777" w:rsidR="00A40E51" w:rsidRPr="003E4267" w:rsidRDefault="00A40E51" w:rsidP="003E4267">
      <w:pPr>
        <w:pStyle w:val="CM17"/>
        <w:spacing w:before="120" w:after="120" w:line="508" w:lineRule="atLeast"/>
        <w:rPr>
          <w:rFonts w:cs="Arial"/>
        </w:rPr>
      </w:pPr>
      <w:r w:rsidRPr="003E4267">
        <w:rPr>
          <w:rFonts w:cs="Arial"/>
          <w:b/>
          <w:bCs/>
        </w:rPr>
        <w:t xml:space="preserve">CONTRIBUTION LIST Key individuals involved in developing the document </w:t>
      </w:r>
    </w:p>
    <w:tbl>
      <w:tblPr>
        <w:tblW w:w="9322" w:type="dxa"/>
        <w:tblBorders>
          <w:top w:val="nil"/>
          <w:left w:val="nil"/>
          <w:bottom w:val="nil"/>
          <w:right w:val="nil"/>
        </w:tblBorders>
        <w:tblLook w:val="0000" w:firstRow="0" w:lastRow="0" w:firstColumn="0" w:lastColumn="0" w:noHBand="0" w:noVBand="0"/>
      </w:tblPr>
      <w:tblGrid>
        <w:gridCol w:w="4661"/>
        <w:gridCol w:w="4661"/>
      </w:tblGrid>
      <w:tr w:rsidR="001840BA" w:rsidRPr="003E4267" w14:paraId="4AF86602" w14:textId="77777777" w:rsidTr="00117648">
        <w:trPr>
          <w:trHeight w:val="325"/>
        </w:trPr>
        <w:tc>
          <w:tcPr>
            <w:tcW w:w="9322" w:type="dxa"/>
            <w:gridSpan w:val="2"/>
            <w:tcBorders>
              <w:top w:val="single" w:sz="5" w:space="0" w:color="000000"/>
              <w:left w:val="single" w:sz="5" w:space="0" w:color="000000"/>
              <w:bottom w:val="single" w:sz="6" w:space="0" w:color="000000"/>
              <w:right w:val="single" w:sz="5" w:space="0" w:color="000000"/>
            </w:tcBorders>
            <w:shd w:val="clear" w:color="auto" w:fill="C0C0C0"/>
            <w:vAlign w:val="center"/>
          </w:tcPr>
          <w:p w14:paraId="0CD46376" w14:textId="77777777" w:rsidR="001840BA" w:rsidRPr="003E4267" w:rsidRDefault="001840BA" w:rsidP="001840BA">
            <w:pPr>
              <w:pStyle w:val="Default"/>
              <w:spacing w:before="120" w:after="120"/>
              <w:rPr>
                <w:b/>
                <w:bCs/>
              </w:rPr>
            </w:pPr>
            <w:r>
              <w:rPr>
                <w:b/>
                <w:bCs/>
              </w:rPr>
              <w:t xml:space="preserve">Contributor – </w:t>
            </w:r>
            <w:r w:rsidRPr="003E4267">
              <w:rPr>
                <w:b/>
                <w:bCs/>
              </w:rPr>
              <w:t>Designation or Group</w:t>
            </w:r>
          </w:p>
        </w:tc>
      </w:tr>
      <w:tr w:rsidR="00316FFA" w:rsidRPr="003E4267" w14:paraId="7463C7D4" w14:textId="77777777" w:rsidTr="00FB5455">
        <w:trPr>
          <w:trHeight w:val="325"/>
        </w:trPr>
        <w:tc>
          <w:tcPr>
            <w:tcW w:w="4661" w:type="dxa"/>
            <w:tcBorders>
              <w:top w:val="single" w:sz="6" w:space="0" w:color="000000"/>
              <w:left w:val="single" w:sz="6" w:space="0" w:color="000000"/>
              <w:bottom w:val="single" w:sz="6" w:space="0" w:color="000000"/>
              <w:right w:val="single" w:sz="6" w:space="0" w:color="000000"/>
            </w:tcBorders>
            <w:vAlign w:val="center"/>
          </w:tcPr>
          <w:p w14:paraId="366E37C7" w14:textId="77777777" w:rsidR="00316FFA" w:rsidRPr="003E4267" w:rsidRDefault="00302F51" w:rsidP="003E4267">
            <w:pPr>
              <w:pStyle w:val="Default"/>
              <w:spacing w:before="120" w:after="120"/>
            </w:pPr>
            <w:r>
              <w:t>Eugene Stevenson</w:t>
            </w:r>
          </w:p>
        </w:tc>
        <w:tc>
          <w:tcPr>
            <w:tcW w:w="4661" w:type="dxa"/>
            <w:tcBorders>
              <w:top w:val="single" w:sz="6" w:space="0" w:color="000000"/>
              <w:left w:val="single" w:sz="6" w:space="0" w:color="000000"/>
              <w:bottom w:val="single" w:sz="6" w:space="0" w:color="000000"/>
              <w:right w:val="single" w:sz="6" w:space="0" w:color="000000"/>
            </w:tcBorders>
            <w:vAlign w:val="center"/>
          </w:tcPr>
          <w:p w14:paraId="3D5EAEC6" w14:textId="44C4C43D" w:rsidR="00316FFA" w:rsidRPr="006933F1" w:rsidRDefault="006933F1" w:rsidP="003E4267">
            <w:pPr>
              <w:pStyle w:val="Default"/>
              <w:spacing w:before="120" w:after="120"/>
              <w:rPr>
                <w:color w:val="auto"/>
              </w:rPr>
            </w:pPr>
            <w:r>
              <w:rPr>
                <w:color w:val="auto"/>
              </w:rPr>
              <w:t>Head of Complex Individual Care &amp; Named Patient Services.</w:t>
            </w:r>
          </w:p>
        </w:tc>
      </w:tr>
      <w:tr w:rsidR="00316FFA" w:rsidRPr="003E4267" w14:paraId="19321EF7" w14:textId="77777777" w:rsidTr="00FB5455">
        <w:trPr>
          <w:trHeight w:val="325"/>
        </w:trPr>
        <w:tc>
          <w:tcPr>
            <w:tcW w:w="4661" w:type="dxa"/>
            <w:tcBorders>
              <w:top w:val="single" w:sz="6" w:space="0" w:color="000000"/>
              <w:left w:val="single" w:sz="6" w:space="0" w:color="000000"/>
              <w:bottom w:val="single" w:sz="6" w:space="0" w:color="000000"/>
              <w:right w:val="single" w:sz="6" w:space="0" w:color="000000"/>
            </w:tcBorders>
            <w:vAlign w:val="center"/>
          </w:tcPr>
          <w:p w14:paraId="32F6116B" w14:textId="226364A8" w:rsidR="00302F51" w:rsidRPr="003E4267" w:rsidRDefault="00302F51" w:rsidP="003E4267">
            <w:pPr>
              <w:pStyle w:val="Default"/>
              <w:spacing w:before="120" w:after="120"/>
            </w:pPr>
            <w:r>
              <w:t xml:space="preserve">Kate </w:t>
            </w:r>
            <w:r w:rsidR="00B5076B">
              <w:t>Perring</w:t>
            </w:r>
          </w:p>
        </w:tc>
        <w:tc>
          <w:tcPr>
            <w:tcW w:w="4661" w:type="dxa"/>
            <w:tcBorders>
              <w:top w:val="single" w:sz="6" w:space="0" w:color="000000"/>
              <w:left w:val="single" w:sz="6" w:space="0" w:color="000000"/>
              <w:bottom w:val="single" w:sz="6" w:space="0" w:color="000000"/>
              <w:right w:val="single" w:sz="6" w:space="0" w:color="000000"/>
            </w:tcBorders>
            <w:vAlign w:val="center"/>
          </w:tcPr>
          <w:p w14:paraId="25070406" w14:textId="01E8048F" w:rsidR="00316FFA" w:rsidRPr="003E4267" w:rsidRDefault="006933F1" w:rsidP="003E4267">
            <w:pPr>
              <w:pStyle w:val="Default"/>
              <w:spacing w:before="120" w:after="120"/>
            </w:pPr>
            <w:r>
              <w:t>Service Manager, Mental Health Social Care (West)</w:t>
            </w:r>
          </w:p>
        </w:tc>
      </w:tr>
      <w:tr w:rsidR="00B6272E" w:rsidRPr="003E4267" w14:paraId="0A271EB9" w14:textId="77777777" w:rsidTr="00FB5455">
        <w:trPr>
          <w:trHeight w:val="325"/>
        </w:trPr>
        <w:tc>
          <w:tcPr>
            <w:tcW w:w="4661" w:type="dxa"/>
            <w:tcBorders>
              <w:top w:val="single" w:sz="6" w:space="0" w:color="000000"/>
              <w:left w:val="single" w:sz="6" w:space="0" w:color="000000"/>
              <w:bottom w:val="single" w:sz="6" w:space="0" w:color="000000"/>
              <w:right w:val="single" w:sz="6" w:space="0" w:color="000000"/>
            </w:tcBorders>
            <w:vAlign w:val="center"/>
          </w:tcPr>
          <w:p w14:paraId="32DAB9D4" w14:textId="77777777" w:rsidR="00B6272E" w:rsidRDefault="00302F51" w:rsidP="003E4267">
            <w:pPr>
              <w:pStyle w:val="Default"/>
              <w:spacing w:before="120" w:after="120"/>
            </w:pPr>
            <w:r>
              <w:t>Kieron Mars</w:t>
            </w:r>
          </w:p>
        </w:tc>
        <w:tc>
          <w:tcPr>
            <w:tcW w:w="4661" w:type="dxa"/>
            <w:tcBorders>
              <w:top w:val="single" w:sz="6" w:space="0" w:color="000000"/>
              <w:left w:val="single" w:sz="6" w:space="0" w:color="000000"/>
              <w:bottom w:val="single" w:sz="6" w:space="0" w:color="000000"/>
              <w:right w:val="single" w:sz="6" w:space="0" w:color="000000"/>
            </w:tcBorders>
            <w:vAlign w:val="center"/>
          </w:tcPr>
          <w:p w14:paraId="0C17DA87" w14:textId="4169344B" w:rsidR="00B6272E" w:rsidRDefault="006933F1" w:rsidP="003E4267">
            <w:pPr>
              <w:pStyle w:val="Default"/>
              <w:spacing w:before="120" w:after="120"/>
            </w:pPr>
            <w:r>
              <w:t>Service Manager, Mental Health Social Care (East)</w:t>
            </w:r>
          </w:p>
        </w:tc>
      </w:tr>
      <w:tr w:rsidR="00316FFA" w:rsidRPr="003E4267" w14:paraId="54D04155" w14:textId="77777777" w:rsidTr="00FB5455">
        <w:trPr>
          <w:trHeight w:val="325"/>
        </w:trPr>
        <w:tc>
          <w:tcPr>
            <w:tcW w:w="4661" w:type="dxa"/>
            <w:tcBorders>
              <w:top w:val="single" w:sz="6" w:space="0" w:color="000000"/>
              <w:left w:val="single" w:sz="6" w:space="0" w:color="000000"/>
              <w:bottom w:val="single" w:sz="6" w:space="0" w:color="000000"/>
              <w:right w:val="single" w:sz="6" w:space="0" w:color="000000"/>
            </w:tcBorders>
            <w:vAlign w:val="center"/>
          </w:tcPr>
          <w:p w14:paraId="19D26318" w14:textId="77777777" w:rsidR="00316FFA" w:rsidRPr="003E4267" w:rsidRDefault="00302F51" w:rsidP="003E4267">
            <w:pPr>
              <w:pStyle w:val="Default"/>
              <w:spacing w:before="120" w:after="120"/>
            </w:pPr>
            <w:r>
              <w:t>William Barnwell</w:t>
            </w:r>
          </w:p>
        </w:tc>
        <w:tc>
          <w:tcPr>
            <w:tcW w:w="4661" w:type="dxa"/>
            <w:tcBorders>
              <w:top w:val="single" w:sz="6" w:space="0" w:color="000000"/>
              <w:left w:val="single" w:sz="6" w:space="0" w:color="000000"/>
              <w:bottom w:val="single" w:sz="6" w:space="0" w:color="000000"/>
              <w:right w:val="single" w:sz="6" w:space="0" w:color="000000"/>
            </w:tcBorders>
            <w:vAlign w:val="center"/>
          </w:tcPr>
          <w:p w14:paraId="373058ED" w14:textId="3EE243C8" w:rsidR="00316FFA" w:rsidRPr="003E4267" w:rsidRDefault="006933F1" w:rsidP="003E4267">
            <w:pPr>
              <w:pStyle w:val="Default"/>
              <w:spacing w:before="120" w:after="120"/>
            </w:pPr>
            <w:r>
              <w:t xml:space="preserve">Commissioning Manager, Learning </w:t>
            </w:r>
            <w:r w:rsidR="00EF234E">
              <w:t>Disabilities,</w:t>
            </w:r>
            <w:r>
              <w:t xml:space="preserve"> Autism. </w:t>
            </w:r>
          </w:p>
        </w:tc>
      </w:tr>
      <w:tr w:rsidR="00316FFA" w:rsidRPr="003E4267" w14:paraId="4B384187" w14:textId="77777777" w:rsidTr="00FB5455">
        <w:trPr>
          <w:trHeight w:val="325"/>
        </w:trPr>
        <w:tc>
          <w:tcPr>
            <w:tcW w:w="4661" w:type="dxa"/>
            <w:tcBorders>
              <w:top w:val="single" w:sz="6" w:space="0" w:color="000000"/>
              <w:left w:val="single" w:sz="6" w:space="0" w:color="000000"/>
              <w:bottom w:val="single" w:sz="6" w:space="0" w:color="000000"/>
              <w:right w:val="single" w:sz="6" w:space="0" w:color="000000"/>
            </w:tcBorders>
            <w:vAlign w:val="center"/>
          </w:tcPr>
          <w:p w14:paraId="54672D6C" w14:textId="77777777" w:rsidR="00316FFA" w:rsidRPr="003E4267" w:rsidRDefault="00B36CAF" w:rsidP="003E4267">
            <w:pPr>
              <w:pStyle w:val="Default"/>
              <w:spacing w:before="120" w:after="120"/>
            </w:pPr>
            <w:r>
              <w:t xml:space="preserve">Liz Cotterill </w:t>
            </w:r>
          </w:p>
        </w:tc>
        <w:tc>
          <w:tcPr>
            <w:tcW w:w="4661" w:type="dxa"/>
            <w:tcBorders>
              <w:top w:val="single" w:sz="6" w:space="0" w:color="000000"/>
              <w:left w:val="single" w:sz="6" w:space="0" w:color="000000"/>
              <w:bottom w:val="single" w:sz="6" w:space="0" w:color="000000"/>
              <w:right w:val="single" w:sz="6" w:space="0" w:color="000000"/>
            </w:tcBorders>
            <w:vAlign w:val="center"/>
          </w:tcPr>
          <w:p w14:paraId="15467662" w14:textId="2611AEE2" w:rsidR="00316FFA" w:rsidRPr="003E4267" w:rsidRDefault="006933F1" w:rsidP="003E4267">
            <w:pPr>
              <w:pStyle w:val="Default"/>
              <w:spacing w:before="120" w:after="120"/>
            </w:pPr>
            <w:r>
              <w:t>Clinical Lead-Complex Care Team.</w:t>
            </w:r>
          </w:p>
        </w:tc>
      </w:tr>
    </w:tbl>
    <w:p w14:paraId="4836AD29" w14:textId="77777777" w:rsidR="00A40E51" w:rsidRPr="003E4267" w:rsidRDefault="00A40E51" w:rsidP="003E4267">
      <w:pPr>
        <w:spacing w:before="120" w:after="120"/>
        <w:jc w:val="center"/>
        <w:rPr>
          <w:rFonts w:cs="Arial"/>
        </w:rPr>
      </w:pPr>
    </w:p>
    <w:p w14:paraId="749DE4EB" w14:textId="77777777" w:rsidR="000A55AD" w:rsidRDefault="000A55AD">
      <w:r>
        <w:br w:type="page"/>
      </w:r>
    </w:p>
    <w:tbl>
      <w:tblPr>
        <w:tblW w:w="0" w:type="auto"/>
        <w:tblLook w:val="0000" w:firstRow="0" w:lastRow="0" w:firstColumn="0" w:lastColumn="0" w:noHBand="0" w:noVBand="0"/>
      </w:tblPr>
      <w:tblGrid>
        <w:gridCol w:w="1665"/>
        <w:gridCol w:w="5730"/>
        <w:gridCol w:w="1675"/>
      </w:tblGrid>
      <w:tr w:rsidR="00A40E51" w:rsidRPr="003E4267" w14:paraId="379EF7E8" w14:textId="77777777" w:rsidTr="00AF755C">
        <w:tc>
          <w:tcPr>
            <w:tcW w:w="1665" w:type="dxa"/>
          </w:tcPr>
          <w:p w14:paraId="68640235" w14:textId="77777777" w:rsidR="00A40E51" w:rsidRPr="003E4267" w:rsidRDefault="00A40E51" w:rsidP="003E4267">
            <w:pPr>
              <w:spacing w:before="120" w:after="120"/>
              <w:jc w:val="both"/>
              <w:rPr>
                <w:rFonts w:cs="Arial"/>
                <w:b/>
              </w:rPr>
            </w:pPr>
            <w:r w:rsidRPr="003E4267">
              <w:rPr>
                <w:rFonts w:cs="Arial"/>
                <w:b/>
              </w:rPr>
              <w:t>CONTENTS</w:t>
            </w:r>
          </w:p>
        </w:tc>
        <w:tc>
          <w:tcPr>
            <w:tcW w:w="5730" w:type="dxa"/>
          </w:tcPr>
          <w:p w14:paraId="5FB58863" w14:textId="77777777" w:rsidR="00A40E51" w:rsidRPr="003E4267" w:rsidRDefault="00A40E51" w:rsidP="003E4267">
            <w:pPr>
              <w:spacing w:before="120" w:after="120"/>
              <w:jc w:val="both"/>
              <w:rPr>
                <w:rFonts w:cs="Arial"/>
                <w:b/>
              </w:rPr>
            </w:pPr>
          </w:p>
        </w:tc>
        <w:tc>
          <w:tcPr>
            <w:tcW w:w="1675" w:type="dxa"/>
          </w:tcPr>
          <w:p w14:paraId="523E35B3" w14:textId="77777777" w:rsidR="00A40E51" w:rsidRPr="003E4267" w:rsidRDefault="00A40E51" w:rsidP="003E4267">
            <w:pPr>
              <w:spacing w:before="120" w:after="120"/>
              <w:jc w:val="both"/>
              <w:rPr>
                <w:rFonts w:cs="Arial"/>
                <w:b/>
              </w:rPr>
            </w:pPr>
          </w:p>
        </w:tc>
      </w:tr>
      <w:tr w:rsidR="00A40E51" w:rsidRPr="003E4267" w14:paraId="6DB98E62" w14:textId="77777777" w:rsidTr="00AF755C">
        <w:tc>
          <w:tcPr>
            <w:tcW w:w="1665" w:type="dxa"/>
          </w:tcPr>
          <w:p w14:paraId="68995DFD" w14:textId="77777777" w:rsidR="00A40E51" w:rsidRPr="003E4267" w:rsidRDefault="00A40E51" w:rsidP="003E4267">
            <w:pPr>
              <w:spacing w:before="120" w:after="120"/>
              <w:jc w:val="both"/>
              <w:rPr>
                <w:rFonts w:cs="Arial"/>
                <w:b/>
                <w:bCs/>
              </w:rPr>
            </w:pPr>
            <w:r w:rsidRPr="003E4267">
              <w:rPr>
                <w:rFonts w:cs="Arial"/>
                <w:b/>
                <w:bCs/>
              </w:rPr>
              <w:t>Section</w:t>
            </w:r>
          </w:p>
        </w:tc>
        <w:tc>
          <w:tcPr>
            <w:tcW w:w="5730" w:type="dxa"/>
          </w:tcPr>
          <w:p w14:paraId="5EB7A387" w14:textId="77777777" w:rsidR="00A40E51" w:rsidRPr="003E4267" w:rsidRDefault="00612368" w:rsidP="003E4267">
            <w:pPr>
              <w:pStyle w:val="Header"/>
              <w:tabs>
                <w:tab w:val="clear" w:pos="4153"/>
                <w:tab w:val="clear" w:pos="8306"/>
              </w:tabs>
              <w:spacing w:before="120" w:after="120"/>
              <w:rPr>
                <w:rFonts w:cs="Arial"/>
                <w:b/>
                <w:bCs/>
              </w:rPr>
            </w:pPr>
            <w:r>
              <w:rPr>
                <w:rFonts w:cs="Arial"/>
                <w:b/>
                <w:bCs/>
              </w:rPr>
              <w:t>Title</w:t>
            </w:r>
            <w:r w:rsidR="00A40E51" w:rsidRPr="003E4267">
              <w:rPr>
                <w:rFonts w:cs="Arial"/>
                <w:b/>
                <w:bCs/>
              </w:rPr>
              <w:t xml:space="preserve"> of Section</w:t>
            </w:r>
          </w:p>
        </w:tc>
        <w:tc>
          <w:tcPr>
            <w:tcW w:w="1675" w:type="dxa"/>
          </w:tcPr>
          <w:p w14:paraId="46094C1B" w14:textId="50AB060F" w:rsidR="00A40E51" w:rsidRPr="003E4267" w:rsidRDefault="00A40E51" w:rsidP="003E4267">
            <w:pPr>
              <w:spacing w:before="120" w:after="120"/>
              <w:jc w:val="center"/>
              <w:rPr>
                <w:rFonts w:cs="Arial"/>
                <w:b/>
                <w:bCs/>
              </w:rPr>
            </w:pPr>
          </w:p>
        </w:tc>
      </w:tr>
      <w:tr w:rsidR="00612368" w:rsidRPr="003E4267" w14:paraId="56800CF4" w14:textId="77777777" w:rsidTr="00AF755C">
        <w:tc>
          <w:tcPr>
            <w:tcW w:w="1665" w:type="dxa"/>
            <w:vAlign w:val="center"/>
          </w:tcPr>
          <w:p w14:paraId="029838FF" w14:textId="77777777" w:rsidR="00612368" w:rsidRPr="003E4267" w:rsidRDefault="00612368" w:rsidP="003E4267">
            <w:pPr>
              <w:spacing w:before="120" w:after="120"/>
              <w:rPr>
                <w:rFonts w:cs="Arial"/>
              </w:rPr>
            </w:pPr>
          </w:p>
        </w:tc>
        <w:tc>
          <w:tcPr>
            <w:tcW w:w="5730" w:type="dxa"/>
            <w:vAlign w:val="center"/>
          </w:tcPr>
          <w:p w14:paraId="24CF37A0" w14:textId="77777777" w:rsidR="00612368" w:rsidRPr="003E4267" w:rsidRDefault="00612368" w:rsidP="003E4267">
            <w:pPr>
              <w:spacing w:before="120" w:after="120"/>
              <w:rPr>
                <w:rFonts w:cs="Arial"/>
              </w:rPr>
            </w:pPr>
            <w:r>
              <w:rPr>
                <w:rFonts w:cs="Arial"/>
              </w:rPr>
              <w:t>Document Summary</w:t>
            </w:r>
          </w:p>
        </w:tc>
        <w:tc>
          <w:tcPr>
            <w:tcW w:w="1675" w:type="dxa"/>
            <w:vAlign w:val="center"/>
          </w:tcPr>
          <w:p w14:paraId="3C95B651" w14:textId="77777777" w:rsidR="00612368" w:rsidRPr="003E4267" w:rsidRDefault="00612368" w:rsidP="003E4267">
            <w:pPr>
              <w:spacing w:before="120" w:after="120"/>
              <w:rPr>
                <w:rFonts w:cs="Arial"/>
                <w:bCs/>
              </w:rPr>
            </w:pPr>
          </w:p>
        </w:tc>
      </w:tr>
      <w:tr w:rsidR="00A40E51" w:rsidRPr="003E4267" w14:paraId="42623DBC" w14:textId="77777777" w:rsidTr="00AF755C">
        <w:tc>
          <w:tcPr>
            <w:tcW w:w="1665" w:type="dxa"/>
            <w:vAlign w:val="center"/>
          </w:tcPr>
          <w:p w14:paraId="097DCA14" w14:textId="77777777" w:rsidR="00A40E51" w:rsidRPr="003E4267" w:rsidRDefault="00A40E51" w:rsidP="003E4267">
            <w:pPr>
              <w:spacing w:before="120" w:after="120"/>
              <w:rPr>
                <w:rFonts w:cs="Arial"/>
                <w:b/>
              </w:rPr>
            </w:pPr>
            <w:r w:rsidRPr="003E4267">
              <w:rPr>
                <w:rFonts w:cs="Arial"/>
              </w:rPr>
              <w:t>Doc</w:t>
            </w:r>
            <w:r w:rsidR="00612368">
              <w:rPr>
                <w:rFonts w:cs="Arial"/>
              </w:rPr>
              <w:t>.</w:t>
            </w:r>
          </w:p>
        </w:tc>
        <w:tc>
          <w:tcPr>
            <w:tcW w:w="5730" w:type="dxa"/>
            <w:vAlign w:val="center"/>
          </w:tcPr>
          <w:p w14:paraId="39BE2826" w14:textId="77777777" w:rsidR="00A40E51" w:rsidRPr="003E4267" w:rsidRDefault="00A40E51" w:rsidP="003E4267">
            <w:pPr>
              <w:spacing w:before="120" w:after="120"/>
              <w:rPr>
                <w:rFonts w:cs="Arial"/>
                <w:b/>
              </w:rPr>
            </w:pPr>
            <w:r w:rsidRPr="003E4267">
              <w:rPr>
                <w:rFonts w:cs="Arial"/>
              </w:rPr>
              <w:t>Document Control</w:t>
            </w:r>
          </w:p>
        </w:tc>
        <w:tc>
          <w:tcPr>
            <w:tcW w:w="1675" w:type="dxa"/>
            <w:vAlign w:val="center"/>
          </w:tcPr>
          <w:p w14:paraId="4F170D33" w14:textId="77777777" w:rsidR="00A40E51" w:rsidRPr="003E4267" w:rsidRDefault="00A40E51" w:rsidP="007349F7">
            <w:pPr>
              <w:spacing w:before="120" w:after="120"/>
              <w:jc w:val="center"/>
              <w:rPr>
                <w:rFonts w:cs="Arial"/>
                <w:bCs/>
              </w:rPr>
            </w:pPr>
          </w:p>
        </w:tc>
      </w:tr>
      <w:tr w:rsidR="00A40E51" w:rsidRPr="003E4267" w14:paraId="74F1D6CD" w14:textId="77777777" w:rsidTr="00AF755C">
        <w:tc>
          <w:tcPr>
            <w:tcW w:w="1665" w:type="dxa"/>
            <w:vAlign w:val="center"/>
          </w:tcPr>
          <w:p w14:paraId="4DE737D4" w14:textId="77777777" w:rsidR="00A40E51" w:rsidRPr="003E4267" w:rsidRDefault="00334FD7" w:rsidP="003E4267">
            <w:pPr>
              <w:spacing w:before="120" w:after="120"/>
              <w:rPr>
                <w:rFonts w:cs="Arial"/>
                <w:b/>
              </w:rPr>
            </w:pPr>
            <w:r>
              <w:rPr>
                <w:rFonts w:cs="Arial"/>
              </w:rPr>
              <w:t>Con</w:t>
            </w:r>
            <w:r w:rsidR="00612368">
              <w:rPr>
                <w:rFonts w:cs="Arial"/>
              </w:rPr>
              <w:t>.</w:t>
            </w:r>
          </w:p>
        </w:tc>
        <w:tc>
          <w:tcPr>
            <w:tcW w:w="5730" w:type="dxa"/>
            <w:vAlign w:val="center"/>
          </w:tcPr>
          <w:p w14:paraId="3A559463" w14:textId="77777777" w:rsidR="00184D72" w:rsidRPr="005F42FD" w:rsidRDefault="00334FD7" w:rsidP="003E4267">
            <w:pPr>
              <w:spacing w:before="120" w:after="120"/>
              <w:rPr>
                <w:rFonts w:cs="Arial"/>
              </w:rPr>
            </w:pPr>
            <w:r>
              <w:rPr>
                <w:rFonts w:cs="Arial"/>
              </w:rPr>
              <w:t>Contents</w:t>
            </w:r>
          </w:p>
        </w:tc>
        <w:tc>
          <w:tcPr>
            <w:tcW w:w="1675" w:type="dxa"/>
            <w:vAlign w:val="center"/>
          </w:tcPr>
          <w:p w14:paraId="002A61AD" w14:textId="77777777" w:rsidR="00A40E51" w:rsidRPr="003E4267" w:rsidRDefault="00A40E51" w:rsidP="007349F7">
            <w:pPr>
              <w:spacing w:before="120" w:after="120"/>
              <w:jc w:val="center"/>
              <w:rPr>
                <w:rFonts w:cs="Arial"/>
                <w:b/>
              </w:rPr>
            </w:pPr>
          </w:p>
        </w:tc>
      </w:tr>
      <w:tr w:rsidR="00A40E51" w:rsidRPr="003E4267" w14:paraId="6825E833" w14:textId="77777777" w:rsidTr="00AF755C">
        <w:tc>
          <w:tcPr>
            <w:tcW w:w="1665" w:type="dxa"/>
            <w:vAlign w:val="center"/>
          </w:tcPr>
          <w:p w14:paraId="7CCA7613" w14:textId="77777777" w:rsidR="00184D72" w:rsidRPr="005F42FD" w:rsidRDefault="00A40E51" w:rsidP="005F42FD">
            <w:pPr>
              <w:spacing w:before="120" w:after="120"/>
              <w:jc w:val="both"/>
              <w:rPr>
                <w:rFonts w:cs="Arial"/>
                <w:bCs/>
              </w:rPr>
            </w:pPr>
            <w:r w:rsidRPr="005F42FD">
              <w:rPr>
                <w:rFonts w:cs="Arial"/>
                <w:bCs/>
              </w:rPr>
              <w:t>1</w:t>
            </w:r>
          </w:p>
        </w:tc>
        <w:tc>
          <w:tcPr>
            <w:tcW w:w="5730" w:type="dxa"/>
            <w:vAlign w:val="center"/>
          </w:tcPr>
          <w:p w14:paraId="7E20AC03" w14:textId="77777777" w:rsidR="005F42FD" w:rsidRPr="005F42FD" w:rsidRDefault="00A40E51" w:rsidP="005F42FD">
            <w:pPr>
              <w:spacing w:before="120" w:after="120"/>
              <w:rPr>
                <w:rFonts w:cs="Arial"/>
              </w:rPr>
            </w:pPr>
            <w:r w:rsidRPr="003E4267">
              <w:rPr>
                <w:rFonts w:cs="Arial"/>
              </w:rPr>
              <w:t>Introduction</w:t>
            </w:r>
          </w:p>
        </w:tc>
        <w:tc>
          <w:tcPr>
            <w:tcW w:w="1675" w:type="dxa"/>
            <w:vAlign w:val="center"/>
          </w:tcPr>
          <w:p w14:paraId="4673EBB2" w14:textId="77777777" w:rsidR="00A40E51" w:rsidRPr="003E4267" w:rsidRDefault="00A40E51" w:rsidP="007349F7">
            <w:pPr>
              <w:spacing w:before="120" w:after="120"/>
              <w:jc w:val="center"/>
              <w:rPr>
                <w:rFonts w:cs="Arial"/>
                <w:bCs/>
              </w:rPr>
            </w:pPr>
          </w:p>
        </w:tc>
      </w:tr>
      <w:tr w:rsidR="00A40E51" w:rsidRPr="003E4267" w14:paraId="5DD9DD4C" w14:textId="77777777" w:rsidTr="00AF755C">
        <w:tc>
          <w:tcPr>
            <w:tcW w:w="1665" w:type="dxa"/>
            <w:vAlign w:val="center"/>
          </w:tcPr>
          <w:p w14:paraId="1149D2E2" w14:textId="77777777" w:rsidR="00184D72" w:rsidRPr="005F42FD" w:rsidRDefault="00A40E51" w:rsidP="005F42FD">
            <w:pPr>
              <w:spacing w:before="120" w:after="120"/>
              <w:jc w:val="both"/>
              <w:rPr>
                <w:rFonts w:cs="Arial"/>
                <w:bCs/>
              </w:rPr>
            </w:pPr>
            <w:r w:rsidRPr="005F42FD">
              <w:rPr>
                <w:rFonts w:cs="Arial"/>
                <w:bCs/>
              </w:rPr>
              <w:t>2</w:t>
            </w:r>
          </w:p>
        </w:tc>
        <w:tc>
          <w:tcPr>
            <w:tcW w:w="5730" w:type="dxa"/>
            <w:vAlign w:val="center"/>
          </w:tcPr>
          <w:p w14:paraId="582BE039" w14:textId="77777777" w:rsidR="00A40E51" w:rsidRPr="003E4267" w:rsidRDefault="003B20ED" w:rsidP="005F42FD">
            <w:pPr>
              <w:spacing w:before="120" w:after="120"/>
              <w:rPr>
                <w:rFonts w:cs="Arial"/>
                <w:b/>
              </w:rPr>
            </w:pPr>
            <w:r>
              <w:rPr>
                <w:rFonts w:cs="Arial"/>
              </w:rPr>
              <w:t>Purpose</w:t>
            </w:r>
            <w:r w:rsidR="00101E11">
              <w:rPr>
                <w:rFonts w:cs="Arial"/>
              </w:rPr>
              <w:t xml:space="preserve"> and Scope</w:t>
            </w:r>
            <w:r>
              <w:rPr>
                <w:rFonts w:cs="Arial"/>
              </w:rPr>
              <w:t xml:space="preserve"> of Complex Cases Panel</w:t>
            </w:r>
          </w:p>
        </w:tc>
        <w:tc>
          <w:tcPr>
            <w:tcW w:w="1675" w:type="dxa"/>
            <w:vAlign w:val="center"/>
          </w:tcPr>
          <w:p w14:paraId="2645C66C" w14:textId="77777777" w:rsidR="00A40E51" w:rsidRPr="003E4267" w:rsidRDefault="00A40E51" w:rsidP="007349F7">
            <w:pPr>
              <w:spacing w:before="120" w:after="120"/>
              <w:jc w:val="center"/>
              <w:rPr>
                <w:rFonts w:cs="Arial"/>
                <w:bCs/>
              </w:rPr>
            </w:pPr>
          </w:p>
        </w:tc>
      </w:tr>
      <w:tr w:rsidR="00470677" w:rsidRPr="003E4267" w14:paraId="3D6E4347" w14:textId="77777777" w:rsidTr="00AF755C">
        <w:tc>
          <w:tcPr>
            <w:tcW w:w="1665" w:type="dxa"/>
            <w:vAlign w:val="center"/>
          </w:tcPr>
          <w:p w14:paraId="0A0B9211" w14:textId="77777777" w:rsidR="00470677" w:rsidRPr="005F42FD" w:rsidRDefault="00CF39E3" w:rsidP="005F42FD">
            <w:pPr>
              <w:spacing w:before="120" w:after="120"/>
              <w:jc w:val="both"/>
              <w:rPr>
                <w:rFonts w:cs="Arial"/>
                <w:bCs/>
              </w:rPr>
            </w:pPr>
            <w:r w:rsidRPr="005F42FD">
              <w:rPr>
                <w:rFonts w:cs="Arial"/>
                <w:bCs/>
              </w:rPr>
              <w:t>3</w:t>
            </w:r>
          </w:p>
        </w:tc>
        <w:tc>
          <w:tcPr>
            <w:tcW w:w="5730" w:type="dxa"/>
            <w:vAlign w:val="center"/>
          </w:tcPr>
          <w:p w14:paraId="78EF4767" w14:textId="77777777" w:rsidR="00470677" w:rsidRPr="003E4267" w:rsidRDefault="00603EF7" w:rsidP="005F42FD">
            <w:pPr>
              <w:spacing w:before="120" w:after="120"/>
              <w:rPr>
                <w:rFonts w:cs="Arial"/>
              </w:rPr>
            </w:pPr>
            <w:r>
              <w:rPr>
                <w:rFonts w:cs="Arial"/>
              </w:rPr>
              <w:t>Operating Principles of The Complex Case Panel.</w:t>
            </w:r>
          </w:p>
        </w:tc>
        <w:tc>
          <w:tcPr>
            <w:tcW w:w="1675" w:type="dxa"/>
            <w:vAlign w:val="center"/>
          </w:tcPr>
          <w:p w14:paraId="0E932139" w14:textId="77777777" w:rsidR="00470677" w:rsidRPr="003E4267" w:rsidRDefault="00470677" w:rsidP="007349F7">
            <w:pPr>
              <w:spacing w:before="120" w:after="120"/>
              <w:jc w:val="center"/>
              <w:rPr>
                <w:rFonts w:cs="Arial"/>
                <w:bCs/>
              </w:rPr>
            </w:pPr>
          </w:p>
        </w:tc>
      </w:tr>
      <w:tr w:rsidR="00334FD7" w:rsidRPr="003E4267" w14:paraId="525D64EB" w14:textId="77777777" w:rsidTr="00AF755C">
        <w:tc>
          <w:tcPr>
            <w:tcW w:w="1665" w:type="dxa"/>
            <w:vAlign w:val="center"/>
          </w:tcPr>
          <w:p w14:paraId="4A17BDC7" w14:textId="77777777" w:rsidR="00334FD7" w:rsidRPr="005F42FD" w:rsidRDefault="00334FD7" w:rsidP="005F42FD">
            <w:pPr>
              <w:spacing w:before="120" w:after="120"/>
              <w:jc w:val="both"/>
              <w:rPr>
                <w:rFonts w:cs="Arial"/>
                <w:bCs/>
              </w:rPr>
            </w:pPr>
            <w:r w:rsidRPr="005F42FD">
              <w:rPr>
                <w:rFonts w:cs="Arial"/>
                <w:bCs/>
              </w:rPr>
              <w:t>4</w:t>
            </w:r>
          </w:p>
        </w:tc>
        <w:tc>
          <w:tcPr>
            <w:tcW w:w="5730" w:type="dxa"/>
            <w:vAlign w:val="center"/>
          </w:tcPr>
          <w:p w14:paraId="0BD863F9" w14:textId="77777777" w:rsidR="00334FD7" w:rsidRPr="00603EF7" w:rsidRDefault="00603EF7" w:rsidP="005F42FD">
            <w:pPr>
              <w:spacing w:before="120" w:after="120"/>
              <w:rPr>
                <w:rFonts w:cs="Arial"/>
              </w:rPr>
            </w:pPr>
            <w:r>
              <w:rPr>
                <w:rFonts w:cs="Arial"/>
              </w:rPr>
              <w:t>Complex Cases Panel Membership</w:t>
            </w:r>
          </w:p>
        </w:tc>
        <w:tc>
          <w:tcPr>
            <w:tcW w:w="1675" w:type="dxa"/>
            <w:vAlign w:val="center"/>
          </w:tcPr>
          <w:p w14:paraId="077FF16C" w14:textId="77777777" w:rsidR="00334FD7" w:rsidRPr="003E4267" w:rsidRDefault="00334FD7" w:rsidP="007349F7">
            <w:pPr>
              <w:spacing w:before="120" w:after="120"/>
              <w:jc w:val="center"/>
              <w:rPr>
                <w:rFonts w:cs="Arial"/>
                <w:bCs/>
              </w:rPr>
            </w:pPr>
          </w:p>
        </w:tc>
      </w:tr>
      <w:tr w:rsidR="00334FD7" w:rsidRPr="003E4267" w14:paraId="1DD59727" w14:textId="77777777" w:rsidTr="00AF755C">
        <w:trPr>
          <w:trHeight w:val="487"/>
        </w:trPr>
        <w:tc>
          <w:tcPr>
            <w:tcW w:w="1665" w:type="dxa"/>
            <w:vAlign w:val="center"/>
          </w:tcPr>
          <w:p w14:paraId="63F57D69" w14:textId="77777777" w:rsidR="00334FD7" w:rsidRPr="005F42FD" w:rsidRDefault="00334FD7" w:rsidP="005F42FD">
            <w:pPr>
              <w:spacing w:before="120" w:after="120"/>
              <w:jc w:val="both"/>
              <w:rPr>
                <w:rFonts w:cs="Arial"/>
                <w:bCs/>
              </w:rPr>
            </w:pPr>
            <w:r w:rsidRPr="005F42FD">
              <w:rPr>
                <w:rFonts w:cs="Arial"/>
                <w:bCs/>
              </w:rPr>
              <w:t>5</w:t>
            </w:r>
          </w:p>
        </w:tc>
        <w:tc>
          <w:tcPr>
            <w:tcW w:w="5730" w:type="dxa"/>
            <w:vAlign w:val="center"/>
          </w:tcPr>
          <w:p w14:paraId="5BD91084" w14:textId="77777777" w:rsidR="00334FD7" w:rsidRPr="00334FD7" w:rsidRDefault="00603EF7" w:rsidP="005F42FD">
            <w:pPr>
              <w:spacing w:before="120" w:after="120"/>
              <w:rPr>
                <w:rFonts w:cs="Arial"/>
              </w:rPr>
            </w:pPr>
            <w:r>
              <w:rPr>
                <w:rFonts w:cs="Arial"/>
              </w:rPr>
              <w:t>Definitions</w:t>
            </w:r>
          </w:p>
        </w:tc>
        <w:tc>
          <w:tcPr>
            <w:tcW w:w="1675" w:type="dxa"/>
            <w:vAlign w:val="center"/>
          </w:tcPr>
          <w:p w14:paraId="315B7CF5" w14:textId="77777777" w:rsidR="00334FD7" w:rsidRPr="003E4267" w:rsidRDefault="00334FD7" w:rsidP="007349F7">
            <w:pPr>
              <w:spacing w:before="120" w:after="120"/>
              <w:jc w:val="center"/>
              <w:rPr>
                <w:rFonts w:cs="Arial"/>
                <w:bCs/>
              </w:rPr>
            </w:pPr>
          </w:p>
        </w:tc>
      </w:tr>
      <w:tr w:rsidR="00334FD7" w:rsidRPr="003E4267" w14:paraId="3D145300" w14:textId="77777777" w:rsidTr="00AF755C">
        <w:tc>
          <w:tcPr>
            <w:tcW w:w="1665" w:type="dxa"/>
            <w:vAlign w:val="center"/>
          </w:tcPr>
          <w:p w14:paraId="261465F9" w14:textId="77777777" w:rsidR="00334FD7" w:rsidRPr="005F42FD" w:rsidRDefault="00334FD7" w:rsidP="005F42FD">
            <w:pPr>
              <w:spacing w:before="120" w:after="120"/>
              <w:jc w:val="both"/>
              <w:rPr>
                <w:rFonts w:cs="Arial"/>
                <w:bCs/>
              </w:rPr>
            </w:pPr>
            <w:r w:rsidRPr="005F42FD">
              <w:rPr>
                <w:rFonts w:cs="Arial"/>
                <w:bCs/>
              </w:rPr>
              <w:t>6</w:t>
            </w:r>
          </w:p>
        </w:tc>
        <w:tc>
          <w:tcPr>
            <w:tcW w:w="5730" w:type="dxa"/>
            <w:vAlign w:val="center"/>
          </w:tcPr>
          <w:p w14:paraId="7798BAC6" w14:textId="77777777" w:rsidR="005F42FD" w:rsidRPr="00603EF7" w:rsidRDefault="00603EF7" w:rsidP="005F42FD">
            <w:pPr>
              <w:spacing w:before="120" w:after="120"/>
              <w:rPr>
                <w:rFonts w:cs="Arial"/>
              </w:rPr>
            </w:pPr>
            <w:r>
              <w:rPr>
                <w:rFonts w:cs="Arial"/>
              </w:rPr>
              <w:t>Referral Process to Complex Cases Panel</w:t>
            </w:r>
          </w:p>
        </w:tc>
        <w:tc>
          <w:tcPr>
            <w:tcW w:w="1675" w:type="dxa"/>
            <w:vAlign w:val="center"/>
          </w:tcPr>
          <w:p w14:paraId="39423C69" w14:textId="77777777" w:rsidR="00334FD7" w:rsidRPr="003E4267" w:rsidRDefault="00334FD7" w:rsidP="007349F7">
            <w:pPr>
              <w:spacing w:before="120" w:after="120"/>
              <w:jc w:val="center"/>
              <w:rPr>
                <w:rFonts w:cs="Arial"/>
                <w:bCs/>
              </w:rPr>
            </w:pPr>
          </w:p>
        </w:tc>
      </w:tr>
      <w:tr w:rsidR="00AF755C" w:rsidRPr="003E4267" w14:paraId="613C6FA2" w14:textId="77777777" w:rsidTr="00AF755C">
        <w:tc>
          <w:tcPr>
            <w:tcW w:w="1665" w:type="dxa"/>
            <w:vAlign w:val="center"/>
          </w:tcPr>
          <w:p w14:paraId="4FC0EC15" w14:textId="77777777" w:rsidR="00AF755C" w:rsidRPr="005F42FD" w:rsidRDefault="00AF755C" w:rsidP="005F42FD">
            <w:pPr>
              <w:spacing w:before="120" w:after="120"/>
              <w:jc w:val="both"/>
              <w:rPr>
                <w:rFonts w:cs="Arial"/>
                <w:bCs/>
              </w:rPr>
            </w:pPr>
            <w:r>
              <w:rPr>
                <w:rFonts w:cs="Arial"/>
                <w:bCs/>
              </w:rPr>
              <w:t>7</w:t>
            </w:r>
          </w:p>
        </w:tc>
        <w:tc>
          <w:tcPr>
            <w:tcW w:w="5730" w:type="dxa"/>
            <w:vAlign w:val="center"/>
          </w:tcPr>
          <w:p w14:paraId="372DCD9A" w14:textId="77777777" w:rsidR="00AF755C" w:rsidRDefault="00AF755C" w:rsidP="005F42FD">
            <w:pPr>
              <w:spacing w:before="120" w:after="120"/>
              <w:rPr>
                <w:rFonts w:cs="Arial"/>
              </w:rPr>
            </w:pPr>
            <w:r>
              <w:rPr>
                <w:rFonts w:cs="Arial"/>
              </w:rPr>
              <w:t>Duties and Responsibilities</w:t>
            </w:r>
          </w:p>
        </w:tc>
        <w:tc>
          <w:tcPr>
            <w:tcW w:w="1675" w:type="dxa"/>
            <w:vAlign w:val="center"/>
          </w:tcPr>
          <w:p w14:paraId="73355CF7" w14:textId="77777777" w:rsidR="00AF755C" w:rsidRPr="003E4267" w:rsidRDefault="00AF755C" w:rsidP="007349F7">
            <w:pPr>
              <w:spacing w:before="120" w:after="120"/>
              <w:jc w:val="center"/>
              <w:rPr>
                <w:rFonts w:cs="Arial"/>
                <w:bCs/>
              </w:rPr>
            </w:pPr>
          </w:p>
        </w:tc>
      </w:tr>
      <w:tr w:rsidR="00AF755C" w:rsidRPr="003E4267" w14:paraId="19DDCC8C" w14:textId="77777777" w:rsidTr="00AF755C">
        <w:tc>
          <w:tcPr>
            <w:tcW w:w="1665" w:type="dxa"/>
            <w:vAlign w:val="center"/>
          </w:tcPr>
          <w:p w14:paraId="66937616" w14:textId="77777777" w:rsidR="00AF755C" w:rsidRPr="005F42FD" w:rsidRDefault="00AF755C" w:rsidP="005F42FD">
            <w:pPr>
              <w:spacing w:before="120" w:after="120"/>
              <w:jc w:val="both"/>
              <w:rPr>
                <w:rFonts w:cs="Arial"/>
                <w:bCs/>
              </w:rPr>
            </w:pPr>
            <w:r>
              <w:rPr>
                <w:rFonts w:cs="Arial"/>
                <w:bCs/>
              </w:rPr>
              <w:t>8</w:t>
            </w:r>
          </w:p>
        </w:tc>
        <w:tc>
          <w:tcPr>
            <w:tcW w:w="5730" w:type="dxa"/>
            <w:vAlign w:val="center"/>
          </w:tcPr>
          <w:p w14:paraId="42261AD6" w14:textId="77777777" w:rsidR="00AF755C" w:rsidRDefault="00AF755C" w:rsidP="005F42FD">
            <w:pPr>
              <w:spacing w:before="120" w:after="120"/>
              <w:rPr>
                <w:rFonts w:cs="Arial"/>
              </w:rPr>
            </w:pPr>
            <w:r>
              <w:rPr>
                <w:rFonts w:cs="Arial"/>
              </w:rPr>
              <w:t>Quality Assurance Process-Commissioned Care.</w:t>
            </w:r>
          </w:p>
        </w:tc>
        <w:tc>
          <w:tcPr>
            <w:tcW w:w="1675" w:type="dxa"/>
            <w:vAlign w:val="center"/>
          </w:tcPr>
          <w:p w14:paraId="4AE04C59" w14:textId="77777777" w:rsidR="00AF755C" w:rsidRPr="003E4267" w:rsidRDefault="00AF755C" w:rsidP="007349F7">
            <w:pPr>
              <w:spacing w:before="120" w:after="120"/>
              <w:jc w:val="center"/>
              <w:rPr>
                <w:rFonts w:cs="Arial"/>
                <w:bCs/>
              </w:rPr>
            </w:pPr>
          </w:p>
        </w:tc>
      </w:tr>
      <w:tr w:rsidR="00AF755C" w:rsidRPr="003E4267" w14:paraId="5837A734" w14:textId="77777777" w:rsidTr="00AF755C">
        <w:tc>
          <w:tcPr>
            <w:tcW w:w="1665" w:type="dxa"/>
            <w:vAlign w:val="center"/>
          </w:tcPr>
          <w:p w14:paraId="6CFCE502" w14:textId="77777777" w:rsidR="00AF755C" w:rsidRPr="005F42FD" w:rsidRDefault="00AF755C" w:rsidP="005F42FD">
            <w:pPr>
              <w:spacing w:before="120" w:after="120"/>
              <w:jc w:val="both"/>
              <w:rPr>
                <w:rFonts w:cs="Arial"/>
                <w:bCs/>
              </w:rPr>
            </w:pPr>
            <w:r>
              <w:rPr>
                <w:rFonts w:cs="Arial"/>
                <w:bCs/>
              </w:rPr>
              <w:t>9</w:t>
            </w:r>
          </w:p>
        </w:tc>
        <w:tc>
          <w:tcPr>
            <w:tcW w:w="5730" w:type="dxa"/>
            <w:vAlign w:val="center"/>
          </w:tcPr>
          <w:p w14:paraId="3CEA68E0" w14:textId="77777777" w:rsidR="00AF755C" w:rsidRDefault="00AF755C" w:rsidP="005F42FD">
            <w:pPr>
              <w:spacing w:before="120" w:after="120"/>
              <w:rPr>
                <w:rFonts w:cs="Arial"/>
              </w:rPr>
            </w:pPr>
            <w:r w:rsidRPr="003E4267">
              <w:rPr>
                <w:rFonts w:cs="Arial"/>
              </w:rPr>
              <w:t>Monitori</w:t>
            </w:r>
            <w:r>
              <w:rPr>
                <w:rFonts w:cs="Arial"/>
              </w:rPr>
              <w:t>ng Compliance and Effectiveness</w:t>
            </w:r>
          </w:p>
        </w:tc>
        <w:tc>
          <w:tcPr>
            <w:tcW w:w="1675" w:type="dxa"/>
            <w:vAlign w:val="center"/>
          </w:tcPr>
          <w:p w14:paraId="07C629A1" w14:textId="77777777" w:rsidR="00AF755C" w:rsidRPr="003E4267" w:rsidRDefault="00AF755C" w:rsidP="007349F7">
            <w:pPr>
              <w:spacing w:before="120" w:after="120"/>
              <w:jc w:val="center"/>
              <w:rPr>
                <w:rFonts w:cs="Arial"/>
                <w:bCs/>
              </w:rPr>
            </w:pPr>
          </w:p>
        </w:tc>
      </w:tr>
      <w:tr w:rsidR="00AF755C" w:rsidRPr="003E4267" w14:paraId="30B64EF9" w14:textId="77777777" w:rsidTr="00AF755C">
        <w:tc>
          <w:tcPr>
            <w:tcW w:w="1665" w:type="dxa"/>
            <w:vAlign w:val="center"/>
          </w:tcPr>
          <w:p w14:paraId="6A166C0D" w14:textId="77777777" w:rsidR="00AF755C" w:rsidRPr="005F42FD" w:rsidRDefault="00AF755C" w:rsidP="005F42FD">
            <w:pPr>
              <w:spacing w:before="120" w:after="120"/>
              <w:jc w:val="both"/>
              <w:rPr>
                <w:rFonts w:cs="Arial"/>
                <w:bCs/>
              </w:rPr>
            </w:pPr>
            <w:r>
              <w:rPr>
                <w:rFonts w:cs="Arial"/>
                <w:bCs/>
              </w:rPr>
              <w:t>10</w:t>
            </w:r>
          </w:p>
        </w:tc>
        <w:tc>
          <w:tcPr>
            <w:tcW w:w="5730" w:type="dxa"/>
            <w:vAlign w:val="center"/>
          </w:tcPr>
          <w:p w14:paraId="793C19B8" w14:textId="77777777" w:rsidR="00AF755C" w:rsidRDefault="00AF755C" w:rsidP="005F42FD">
            <w:pPr>
              <w:spacing w:before="120" w:after="120"/>
              <w:rPr>
                <w:rFonts w:cs="Arial"/>
              </w:rPr>
            </w:pPr>
            <w:r>
              <w:rPr>
                <w:rFonts w:cs="Arial"/>
              </w:rPr>
              <w:t>References</w:t>
            </w:r>
            <w:r w:rsidRPr="003E4267">
              <w:rPr>
                <w:rFonts w:cs="Arial"/>
              </w:rPr>
              <w:t xml:space="preserve"> and Associated documents </w:t>
            </w:r>
          </w:p>
        </w:tc>
        <w:tc>
          <w:tcPr>
            <w:tcW w:w="1675" w:type="dxa"/>
            <w:vAlign w:val="center"/>
          </w:tcPr>
          <w:p w14:paraId="11B3905F" w14:textId="77777777" w:rsidR="00AF755C" w:rsidRPr="003E4267" w:rsidRDefault="00AF755C" w:rsidP="007349F7">
            <w:pPr>
              <w:spacing w:before="120" w:after="120"/>
              <w:jc w:val="center"/>
              <w:rPr>
                <w:rFonts w:cs="Arial"/>
                <w:bCs/>
              </w:rPr>
            </w:pPr>
          </w:p>
        </w:tc>
      </w:tr>
      <w:tr w:rsidR="00334FD7" w:rsidRPr="003E4267" w14:paraId="1CA5990D" w14:textId="77777777" w:rsidTr="00AF755C">
        <w:tc>
          <w:tcPr>
            <w:tcW w:w="1665" w:type="dxa"/>
            <w:vAlign w:val="center"/>
          </w:tcPr>
          <w:p w14:paraId="5D0084B7" w14:textId="77777777" w:rsidR="005F42FD" w:rsidRPr="005F42FD" w:rsidRDefault="00DB0031" w:rsidP="005F42FD">
            <w:pPr>
              <w:spacing w:before="120" w:after="120"/>
              <w:jc w:val="both"/>
              <w:rPr>
                <w:rFonts w:cs="Arial"/>
                <w:bCs/>
              </w:rPr>
            </w:pPr>
            <w:r>
              <w:rPr>
                <w:rFonts w:cs="Arial"/>
                <w:bCs/>
              </w:rPr>
              <w:t>11</w:t>
            </w:r>
          </w:p>
        </w:tc>
        <w:tc>
          <w:tcPr>
            <w:tcW w:w="5730" w:type="dxa"/>
            <w:vAlign w:val="center"/>
          </w:tcPr>
          <w:p w14:paraId="77F04DA6" w14:textId="77777777" w:rsidR="00334FD7" w:rsidRPr="003E4267" w:rsidRDefault="00AF755C" w:rsidP="005F42FD">
            <w:pPr>
              <w:spacing w:before="120" w:after="120"/>
              <w:rPr>
                <w:rFonts w:cs="Arial"/>
                <w:b/>
              </w:rPr>
            </w:pPr>
            <w:r w:rsidRPr="003E4267">
              <w:rPr>
                <w:rFonts w:cs="Arial"/>
              </w:rPr>
              <w:t>Appendices</w:t>
            </w:r>
          </w:p>
        </w:tc>
        <w:tc>
          <w:tcPr>
            <w:tcW w:w="1675" w:type="dxa"/>
            <w:vAlign w:val="center"/>
          </w:tcPr>
          <w:p w14:paraId="58DFCC18" w14:textId="77777777" w:rsidR="00334FD7" w:rsidRPr="003E4267" w:rsidRDefault="00334FD7" w:rsidP="007349F7">
            <w:pPr>
              <w:spacing w:before="120" w:after="120"/>
              <w:jc w:val="center"/>
              <w:rPr>
                <w:rFonts w:cs="Arial"/>
                <w:bCs/>
              </w:rPr>
            </w:pPr>
          </w:p>
        </w:tc>
      </w:tr>
      <w:tr w:rsidR="00AF755C" w:rsidRPr="003E4267" w14:paraId="412F021B" w14:textId="77777777" w:rsidTr="00AF755C">
        <w:tc>
          <w:tcPr>
            <w:tcW w:w="1665" w:type="dxa"/>
            <w:vAlign w:val="center"/>
          </w:tcPr>
          <w:p w14:paraId="17ED4385" w14:textId="77777777" w:rsidR="00AF755C" w:rsidRPr="005F42FD" w:rsidRDefault="00AF755C" w:rsidP="005F42FD">
            <w:pPr>
              <w:spacing w:before="120" w:after="120"/>
              <w:jc w:val="both"/>
              <w:rPr>
                <w:rFonts w:cs="Arial"/>
                <w:bCs/>
              </w:rPr>
            </w:pPr>
          </w:p>
        </w:tc>
        <w:tc>
          <w:tcPr>
            <w:tcW w:w="5730" w:type="dxa"/>
            <w:vAlign w:val="center"/>
          </w:tcPr>
          <w:p w14:paraId="0443F6D9" w14:textId="77777777" w:rsidR="00AF755C" w:rsidRDefault="00AF755C" w:rsidP="00AF755C">
            <w:pPr>
              <w:spacing w:before="120" w:after="120"/>
              <w:ind w:left="34"/>
              <w:rPr>
                <w:rFonts w:cs="Arial"/>
              </w:rPr>
            </w:pPr>
            <w:r>
              <w:rPr>
                <w:rFonts w:cs="Arial"/>
              </w:rPr>
              <w:t>Appendix A – Section 117 aftercare policy</w:t>
            </w:r>
          </w:p>
        </w:tc>
        <w:tc>
          <w:tcPr>
            <w:tcW w:w="1675" w:type="dxa"/>
            <w:vAlign w:val="center"/>
          </w:tcPr>
          <w:p w14:paraId="3E6198C8" w14:textId="77777777" w:rsidR="00AF755C" w:rsidRPr="003E4267" w:rsidRDefault="00AF755C" w:rsidP="007349F7">
            <w:pPr>
              <w:spacing w:before="120" w:after="120"/>
              <w:jc w:val="center"/>
              <w:rPr>
                <w:rFonts w:cs="Arial"/>
                <w:bCs/>
              </w:rPr>
            </w:pPr>
          </w:p>
        </w:tc>
      </w:tr>
      <w:tr w:rsidR="00334FD7" w:rsidRPr="003E4267" w14:paraId="55F6C00E" w14:textId="77777777" w:rsidTr="00AF755C">
        <w:tc>
          <w:tcPr>
            <w:tcW w:w="1665" w:type="dxa"/>
            <w:vAlign w:val="center"/>
          </w:tcPr>
          <w:p w14:paraId="43708A4B" w14:textId="77777777" w:rsidR="00334FD7" w:rsidRPr="005F42FD" w:rsidRDefault="00334FD7" w:rsidP="005F42FD">
            <w:pPr>
              <w:spacing w:before="120" w:after="120"/>
              <w:jc w:val="both"/>
              <w:rPr>
                <w:rFonts w:cs="Arial"/>
                <w:bCs/>
              </w:rPr>
            </w:pPr>
          </w:p>
        </w:tc>
        <w:tc>
          <w:tcPr>
            <w:tcW w:w="5730" w:type="dxa"/>
            <w:vAlign w:val="center"/>
          </w:tcPr>
          <w:p w14:paraId="4F7639D5" w14:textId="77777777" w:rsidR="008534E3" w:rsidRPr="003E4267" w:rsidRDefault="00AF755C" w:rsidP="00AF755C">
            <w:pPr>
              <w:spacing w:before="120" w:after="120"/>
              <w:ind w:left="34"/>
              <w:rPr>
                <w:rFonts w:cs="Arial"/>
              </w:rPr>
            </w:pPr>
            <w:r>
              <w:rPr>
                <w:rFonts w:cs="Arial"/>
              </w:rPr>
              <w:t>Appendix B-  SCC agreed rates</w:t>
            </w:r>
          </w:p>
        </w:tc>
        <w:tc>
          <w:tcPr>
            <w:tcW w:w="1675" w:type="dxa"/>
            <w:vAlign w:val="center"/>
          </w:tcPr>
          <w:p w14:paraId="05959160" w14:textId="77777777" w:rsidR="00334FD7" w:rsidRPr="003E4267" w:rsidRDefault="00334FD7" w:rsidP="007349F7">
            <w:pPr>
              <w:spacing w:before="120" w:after="120"/>
              <w:jc w:val="center"/>
              <w:rPr>
                <w:rFonts w:cs="Arial"/>
                <w:bCs/>
              </w:rPr>
            </w:pPr>
          </w:p>
        </w:tc>
      </w:tr>
      <w:tr w:rsidR="00334FD7" w:rsidRPr="003E4267" w14:paraId="7C00DCCE" w14:textId="77777777" w:rsidTr="00AF755C">
        <w:tc>
          <w:tcPr>
            <w:tcW w:w="1665" w:type="dxa"/>
            <w:vAlign w:val="center"/>
          </w:tcPr>
          <w:p w14:paraId="7632AB0E" w14:textId="77777777" w:rsidR="008534E3" w:rsidRPr="003E4267" w:rsidRDefault="008534E3" w:rsidP="00AF755C">
            <w:pPr>
              <w:spacing w:before="120" w:after="120"/>
              <w:jc w:val="both"/>
              <w:rPr>
                <w:rFonts w:cs="Arial"/>
                <w:bCs/>
              </w:rPr>
            </w:pPr>
          </w:p>
        </w:tc>
        <w:tc>
          <w:tcPr>
            <w:tcW w:w="5730" w:type="dxa"/>
            <w:vAlign w:val="center"/>
          </w:tcPr>
          <w:p w14:paraId="10D92D5A" w14:textId="77777777" w:rsidR="00334FD7" w:rsidRPr="008534E3" w:rsidRDefault="00AF755C" w:rsidP="00AF755C">
            <w:pPr>
              <w:spacing w:before="120" w:after="120"/>
              <w:ind w:left="34"/>
              <w:rPr>
                <w:rFonts w:cs="Arial"/>
              </w:rPr>
            </w:pPr>
            <w:r>
              <w:rPr>
                <w:rFonts w:cs="Arial"/>
              </w:rPr>
              <w:t>Appendix C- CCP Funding Request Form</w:t>
            </w:r>
          </w:p>
        </w:tc>
        <w:tc>
          <w:tcPr>
            <w:tcW w:w="1675" w:type="dxa"/>
            <w:vAlign w:val="center"/>
          </w:tcPr>
          <w:p w14:paraId="76AD9382" w14:textId="77777777" w:rsidR="00334FD7" w:rsidRPr="003E4267" w:rsidRDefault="00334FD7" w:rsidP="007349F7">
            <w:pPr>
              <w:spacing w:before="120" w:after="120"/>
              <w:jc w:val="center"/>
              <w:rPr>
                <w:rFonts w:cs="Arial"/>
                <w:bCs/>
              </w:rPr>
            </w:pPr>
          </w:p>
        </w:tc>
      </w:tr>
    </w:tbl>
    <w:p w14:paraId="4823D155" w14:textId="0F227639" w:rsidR="00302F51" w:rsidRDefault="00A40E51" w:rsidP="007F6DA6">
      <w:pPr>
        <w:pStyle w:val="Heading2"/>
        <w:numPr>
          <w:ilvl w:val="0"/>
          <w:numId w:val="1"/>
        </w:numPr>
        <w:tabs>
          <w:tab w:val="num" w:pos="720"/>
        </w:tabs>
        <w:ind w:hanging="720"/>
        <w:rPr>
          <w:u w:val="single"/>
        </w:rPr>
      </w:pPr>
      <w:r w:rsidRPr="003E4267">
        <w:br w:type="page"/>
      </w:r>
      <w:r w:rsidRPr="003161D2">
        <w:rPr>
          <w:u w:val="single"/>
        </w:rPr>
        <w:t>INTRODUCTION</w:t>
      </w:r>
    </w:p>
    <w:p w14:paraId="381E1E35" w14:textId="7679A540" w:rsidR="00811F85" w:rsidRDefault="00811F85" w:rsidP="00811F85"/>
    <w:p w14:paraId="27A99EFE" w14:textId="2BE80D8D" w:rsidR="00811F85" w:rsidRPr="00811F85" w:rsidRDefault="00811F85" w:rsidP="00811F85">
      <w:r w:rsidRPr="00811F85">
        <w:t>The majority of people in Somerset are supported by mainstream commissioned community mental health and social care services. However, there are a small number of individuals whose care and support needs in the community are more exceptional, require further consideration and resources to meet either short-term, ongoing, or intermittent more complex needs. The support for these unique needs may need to be sourced in a variety of ways and across a range of community-based settings. To meet these individual needs, consider and manage the exceptional funding nature of these needs and their requirements, Somerset created the Complex Cases Mental Health and Social Care Panel (CCP).</w:t>
      </w:r>
    </w:p>
    <w:p w14:paraId="31453D02" w14:textId="005CB078" w:rsidR="00811F85" w:rsidRPr="00811F85" w:rsidRDefault="00811F85" w:rsidP="00811F85">
      <w:r w:rsidRPr="00811F85">
        <w:t>This document sets out the role, process, function, and responsibilities of the CCP and its members.</w:t>
      </w:r>
    </w:p>
    <w:p w14:paraId="7291130F" w14:textId="77777777" w:rsidR="0028188F" w:rsidRDefault="0028188F" w:rsidP="00652EC7">
      <w:pPr>
        <w:rPr>
          <w:rFonts w:cs="Arial"/>
          <w:i/>
          <w:color w:val="FF0000"/>
          <w:sz w:val="22"/>
          <w:szCs w:val="22"/>
        </w:rPr>
      </w:pPr>
    </w:p>
    <w:p w14:paraId="429510C6" w14:textId="77777777" w:rsidR="009D40E9" w:rsidRDefault="009D40E9" w:rsidP="00A848FD">
      <w:pPr>
        <w:pStyle w:val="Heading3"/>
        <w:numPr>
          <w:ilvl w:val="0"/>
          <w:numId w:val="0"/>
        </w:numPr>
        <w:spacing w:after="0"/>
        <w:ind w:left="2062"/>
        <w:jc w:val="both"/>
      </w:pPr>
    </w:p>
    <w:p w14:paraId="6BB14C2D" w14:textId="170B743C" w:rsidR="00A40E51" w:rsidRDefault="004B4B8C" w:rsidP="00A848FD">
      <w:pPr>
        <w:pStyle w:val="Heading2"/>
        <w:numPr>
          <w:ilvl w:val="0"/>
          <w:numId w:val="1"/>
        </w:numPr>
        <w:ind w:hanging="720"/>
        <w:jc w:val="both"/>
        <w:rPr>
          <w:u w:val="single"/>
        </w:rPr>
      </w:pPr>
      <w:r w:rsidRPr="003161D2">
        <w:rPr>
          <w:u w:val="single"/>
        </w:rPr>
        <w:t>PURPOSE</w:t>
      </w:r>
      <w:r w:rsidR="00D251A0" w:rsidRPr="003161D2">
        <w:rPr>
          <w:u w:val="single"/>
        </w:rPr>
        <w:t xml:space="preserve"> AND SCOPE OF</w:t>
      </w:r>
      <w:r w:rsidR="00E172F7" w:rsidRPr="003161D2">
        <w:rPr>
          <w:u w:val="single"/>
        </w:rPr>
        <w:t xml:space="preserve"> CCP</w:t>
      </w:r>
    </w:p>
    <w:p w14:paraId="2D76E7A2" w14:textId="45A0F06B" w:rsidR="00811F85" w:rsidRDefault="00811F85" w:rsidP="00811F85"/>
    <w:p w14:paraId="4A34060C" w14:textId="77777777" w:rsidR="00811F85" w:rsidRPr="00811F85" w:rsidRDefault="00811F85" w:rsidP="00811F85"/>
    <w:p w14:paraId="3E70D6E3" w14:textId="4735DD5C" w:rsidR="00811F85" w:rsidRPr="00811F85" w:rsidRDefault="00811F85" w:rsidP="00811F85">
      <w:r w:rsidRPr="00811F85">
        <w:t>The CCP is responsible for commissioning, managing and review of individual exceptional funding requests for Somerset residents over 18 years with the most complex mental health and social care needs, whose needs cannot be fully met through commissioned services already in place. The funding requests to CCP will relate mostly, but not exclusively to supporting individuals under section 117 aftercare in line with policy (appendix A). Provision of services commissioned may include community-based nursing and residential placements, packages of home care, supported living, direct payments and personal health budgets.</w:t>
      </w:r>
    </w:p>
    <w:p w14:paraId="42E2763C" w14:textId="77777777" w:rsidR="00572C42" w:rsidRDefault="00572C42" w:rsidP="00075B55">
      <w:pPr>
        <w:rPr>
          <w:rFonts w:cs="Arial"/>
        </w:rPr>
      </w:pPr>
    </w:p>
    <w:p w14:paraId="04DEBC15" w14:textId="77777777" w:rsidR="00191F3E" w:rsidRDefault="00572C42" w:rsidP="00075B55">
      <w:pPr>
        <w:rPr>
          <w:rFonts w:eastAsiaTheme="minorHAnsi" w:cs="Arial"/>
        </w:rPr>
      </w:pPr>
      <w:r>
        <w:rPr>
          <w:rFonts w:eastAsiaTheme="minorHAnsi" w:cs="Arial"/>
        </w:rPr>
        <w:t>The sco</w:t>
      </w:r>
      <w:r w:rsidR="007E5650">
        <w:rPr>
          <w:rFonts w:eastAsiaTheme="minorHAnsi" w:cs="Arial"/>
        </w:rPr>
        <w:t>pe of the CCP is to consider individuals</w:t>
      </w:r>
      <w:r w:rsidR="00002DC4">
        <w:rPr>
          <w:rFonts w:eastAsiaTheme="minorHAnsi" w:cs="Arial"/>
        </w:rPr>
        <w:t xml:space="preserve"> over</w:t>
      </w:r>
      <w:r w:rsidR="00D55AE4">
        <w:rPr>
          <w:rFonts w:eastAsiaTheme="minorHAnsi" w:cs="Arial"/>
        </w:rPr>
        <w:t xml:space="preserve"> 18</w:t>
      </w:r>
      <w:r w:rsidR="00075B55" w:rsidRPr="00075B55">
        <w:rPr>
          <w:rFonts w:eastAsiaTheme="minorHAnsi" w:cs="Arial"/>
        </w:rPr>
        <w:t xml:space="preserve"> with</w:t>
      </w:r>
      <w:r>
        <w:rPr>
          <w:rFonts w:eastAsiaTheme="minorHAnsi" w:cs="Arial"/>
        </w:rPr>
        <w:t xml:space="preserve"> exceptional,</w:t>
      </w:r>
      <w:r w:rsidR="00075B55" w:rsidRPr="00075B55">
        <w:rPr>
          <w:rFonts w:eastAsiaTheme="minorHAnsi" w:cs="Arial"/>
        </w:rPr>
        <w:t xml:space="preserve"> complex and/or enduring mental health a</w:t>
      </w:r>
      <w:r w:rsidR="00793473">
        <w:rPr>
          <w:rFonts w:eastAsiaTheme="minorHAnsi" w:cs="Arial"/>
        </w:rPr>
        <w:t>nd associated social care n</w:t>
      </w:r>
      <w:r w:rsidR="00CA36FB">
        <w:rPr>
          <w:rFonts w:eastAsiaTheme="minorHAnsi" w:cs="Arial"/>
        </w:rPr>
        <w:t>eeds</w:t>
      </w:r>
      <w:r w:rsidR="007E5650">
        <w:rPr>
          <w:rFonts w:eastAsiaTheme="minorHAnsi" w:cs="Arial"/>
        </w:rPr>
        <w:t xml:space="preserve"> within the</w:t>
      </w:r>
      <w:r w:rsidR="00034C94">
        <w:rPr>
          <w:rFonts w:eastAsiaTheme="minorHAnsi" w:cs="Arial"/>
        </w:rPr>
        <w:t xml:space="preserve"> scope</w:t>
      </w:r>
      <w:r w:rsidR="00D55AE4">
        <w:rPr>
          <w:rFonts w:eastAsiaTheme="minorHAnsi" w:cs="Arial"/>
        </w:rPr>
        <w:t xml:space="preserve"> in 2.1</w:t>
      </w:r>
      <w:r w:rsidR="00002DC4">
        <w:rPr>
          <w:rFonts w:eastAsiaTheme="minorHAnsi" w:cs="Arial"/>
        </w:rPr>
        <w:t>. Referrals to CCP wil</w:t>
      </w:r>
      <w:r w:rsidR="001378ED">
        <w:rPr>
          <w:rFonts w:eastAsiaTheme="minorHAnsi" w:cs="Arial"/>
        </w:rPr>
        <w:t xml:space="preserve">l also </w:t>
      </w:r>
      <w:r w:rsidR="00002DC4">
        <w:rPr>
          <w:rFonts w:eastAsiaTheme="minorHAnsi" w:cs="Arial"/>
        </w:rPr>
        <w:t>be considere</w:t>
      </w:r>
      <w:r w:rsidR="00D31CDF">
        <w:rPr>
          <w:rFonts w:eastAsiaTheme="minorHAnsi" w:cs="Arial"/>
        </w:rPr>
        <w:t>d</w:t>
      </w:r>
      <w:r w:rsidR="00002DC4">
        <w:rPr>
          <w:rFonts w:eastAsiaTheme="minorHAnsi" w:cs="Arial"/>
        </w:rPr>
        <w:t xml:space="preserve"> for people who are 17 to support any trans</w:t>
      </w:r>
      <w:r w:rsidR="00D31CDF">
        <w:rPr>
          <w:rFonts w:eastAsiaTheme="minorHAnsi" w:cs="Arial"/>
        </w:rPr>
        <w:t>ition process to adult services but</w:t>
      </w:r>
      <w:r w:rsidR="00034C94">
        <w:rPr>
          <w:rFonts w:eastAsiaTheme="minorHAnsi" w:cs="Arial"/>
        </w:rPr>
        <w:t xml:space="preserve"> again</w:t>
      </w:r>
      <w:r w:rsidR="00D31CDF">
        <w:rPr>
          <w:rFonts w:eastAsiaTheme="minorHAnsi" w:cs="Arial"/>
        </w:rPr>
        <w:t xml:space="preserve"> will also be</w:t>
      </w:r>
      <w:r w:rsidR="00034C94">
        <w:rPr>
          <w:rFonts w:eastAsiaTheme="minorHAnsi" w:cs="Arial"/>
        </w:rPr>
        <w:t xml:space="preserve"> on the basis of exceptionality and within scope.</w:t>
      </w:r>
    </w:p>
    <w:p w14:paraId="6FE234C3" w14:textId="77777777" w:rsidR="00FB487A" w:rsidRDefault="00FB487A" w:rsidP="00075B55">
      <w:pPr>
        <w:rPr>
          <w:rFonts w:eastAsiaTheme="minorHAnsi" w:cs="Arial"/>
        </w:rPr>
      </w:pPr>
    </w:p>
    <w:p w14:paraId="540F1373" w14:textId="5E4D188E" w:rsidR="00FB487A" w:rsidRDefault="00D55AE4" w:rsidP="00075B55">
      <w:pPr>
        <w:rPr>
          <w:rFonts w:eastAsiaTheme="minorHAnsi" w:cs="Arial"/>
        </w:rPr>
      </w:pPr>
      <w:r>
        <w:rPr>
          <w:rFonts w:eastAsiaTheme="minorHAnsi" w:cs="Arial"/>
        </w:rPr>
        <w:t>The CCP</w:t>
      </w:r>
      <w:r w:rsidR="00FB487A">
        <w:rPr>
          <w:rFonts w:eastAsiaTheme="minorHAnsi" w:cs="Arial"/>
        </w:rPr>
        <w:t xml:space="preserve"> take</w:t>
      </w:r>
      <w:r>
        <w:rPr>
          <w:rFonts w:eastAsiaTheme="minorHAnsi" w:cs="Arial"/>
        </w:rPr>
        <w:t>s</w:t>
      </w:r>
      <w:r w:rsidR="00FB487A">
        <w:rPr>
          <w:rFonts w:eastAsiaTheme="minorHAnsi" w:cs="Arial"/>
        </w:rPr>
        <w:t xml:space="preserve"> place between 9am and 1pm every two weeks comprising of two 30 min slots for ne</w:t>
      </w:r>
      <w:r w:rsidR="00E233A9">
        <w:rPr>
          <w:rFonts w:eastAsiaTheme="minorHAnsi" w:cs="Arial"/>
        </w:rPr>
        <w:t>w cases and 6-8 slots of 20 minutes</w:t>
      </w:r>
      <w:r w:rsidR="00FB487A">
        <w:rPr>
          <w:rFonts w:eastAsiaTheme="minorHAnsi" w:cs="Arial"/>
        </w:rPr>
        <w:t xml:space="preserve"> for ongoing/review of</w:t>
      </w:r>
      <w:r w:rsidR="00A7755A">
        <w:rPr>
          <w:rFonts w:eastAsiaTheme="minorHAnsi" w:cs="Arial"/>
        </w:rPr>
        <w:t xml:space="preserve"> current CCP</w:t>
      </w:r>
      <w:r w:rsidR="00FB487A">
        <w:rPr>
          <w:rFonts w:eastAsiaTheme="minorHAnsi" w:cs="Arial"/>
        </w:rPr>
        <w:t xml:space="preserve"> cases.</w:t>
      </w:r>
      <w:r w:rsidR="007E5650">
        <w:rPr>
          <w:rFonts w:eastAsiaTheme="minorHAnsi" w:cs="Arial"/>
        </w:rPr>
        <w:t xml:space="preserve"> As a minimum the appointed Social Worker and </w:t>
      </w:r>
      <w:r w:rsidR="00481613">
        <w:rPr>
          <w:rFonts w:eastAsiaTheme="minorHAnsi" w:cs="Arial"/>
        </w:rPr>
        <w:t>Keyworker</w:t>
      </w:r>
      <w:r w:rsidR="007E5650">
        <w:rPr>
          <w:rFonts w:eastAsiaTheme="minorHAnsi" w:cs="Arial"/>
        </w:rPr>
        <w:t xml:space="preserve"> </w:t>
      </w:r>
      <w:r>
        <w:rPr>
          <w:rFonts w:eastAsiaTheme="minorHAnsi" w:cs="Arial"/>
        </w:rPr>
        <w:t xml:space="preserve">are required </w:t>
      </w:r>
      <w:r w:rsidR="007E5650">
        <w:rPr>
          <w:rFonts w:eastAsiaTheme="minorHAnsi" w:cs="Arial"/>
        </w:rPr>
        <w:t xml:space="preserve">to attend CCP reviews. </w:t>
      </w:r>
    </w:p>
    <w:p w14:paraId="616A114B" w14:textId="77777777" w:rsidR="00FB487A" w:rsidRDefault="00FB487A" w:rsidP="00075B55">
      <w:pPr>
        <w:rPr>
          <w:rFonts w:eastAsiaTheme="minorHAnsi" w:cs="Arial"/>
        </w:rPr>
      </w:pPr>
    </w:p>
    <w:p w14:paraId="3D266760" w14:textId="77777777" w:rsidR="00FB487A" w:rsidRDefault="00FB487A" w:rsidP="00075B55">
      <w:pPr>
        <w:rPr>
          <w:rFonts w:eastAsiaTheme="minorHAnsi" w:cs="Arial"/>
        </w:rPr>
      </w:pPr>
      <w:r>
        <w:rPr>
          <w:rFonts w:eastAsiaTheme="minorHAnsi" w:cs="Arial"/>
        </w:rPr>
        <w:t>Extra ordinary CCP Slot</w:t>
      </w:r>
      <w:r w:rsidR="00D55AE4">
        <w:rPr>
          <w:rFonts w:eastAsiaTheme="minorHAnsi" w:cs="Arial"/>
        </w:rPr>
        <w:t>s can be arranged</w:t>
      </w:r>
      <w:r>
        <w:rPr>
          <w:rFonts w:eastAsiaTheme="minorHAnsi" w:cs="Arial"/>
        </w:rPr>
        <w:t xml:space="preserve"> to discuss urgent cases that require a decision to resolve some form of </w:t>
      </w:r>
      <w:r w:rsidR="007E5650">
        <w:rPr>
          <w:rFonts w:eastAsiaTheme="minorHAnsi" w:cs="Arial"/>
        </w:rPr>
        <w:t>delay within a care pathway such as</w:t>
      </w:r>
      <w:r>
        <w:rPr>
          <w:rFonts w:eastAsiaTheme="minorHAnsi" w:cs="Arial"/>
        </w:rPr>
        <w:t xml:space="preserve"> discharge from hospital.</w:t>
      </w:r>
    </w:p>
    <w:p w14:paraId="0558B4C1" w14:textId="77777777" w:rsidR="00FB487A" w:rsidRDefault="00FB487A" w:rsidP="00075B55">
      <w:pPr>
        <w:rPr>
          <w:rFonts w:eastAsiaTheme="minorHAnsi" w:cs="Arial"/>
        </w:rPr>
      </w:pPr>
    </w:p>
    <w:p w14:paraId="371B12A7" w14:textId="77777777" w:rsidR="00F43A1E" w:rsidRDefault="00FB487A" w:rsidP="00075B55">
      <w:pPr>
        <w:rPr>
          <w:rFonts w:eastAsiaTheme="minorHAnsi" w:cs="Arial"/>
        </w:rPr>
      </w:pPr>
      <w:r>
        <w:rPr>
          <w:rFonts w:eastAsiaTheme="minorHAnsi" w:cs="Arial"/>
        </w:rPr>
        <w:t>Funding approvals outside of a planned or extraordinary CCP are not</w:t>
      </w:r>
      <w:r w:rsidR="00A7755A">
        <w:rPr>
          <w:rFonts w:eastAsiaTheme="minorHAnsi" w:cs="Arial"/>
        </w:rPr>
        <w:t xml:space="preserve"> generally</w:t>
      </w:r>
      <w:r>
        <w:rPr>
          <w:rFonts w:eastAsiaTheme="minorHAnsi" w:cs="Arial"/>
        </w:rPr>
        <w:t xml:space="preserve"> supported</w:t>
      </w:r>
      <w:r w:rsidR="00A7755A">
        <w:rPr>
          <w:rFonts w:eastAsiaTheme="minorHAnsi" w:cs="Arial"/>
        </w:rPr>
        <w:t xml:space="preserve"> but can be</w:t>
      </w:r>
      <w:r w:rsidR="006A12DD">
        <w:rPr>
          <w:rFonts w:eastAsiaTheme="minorHAnsi" w:cs="Arial"/>
        </w:rPr>
        <w:t xml:space="preserve"> utilised</w:t>
      </w:r>
      <w:r w:rsidR="00A7755A">
        <w:rPr>
          <w:rFonts w:eastAsiaTheme="minorHAnsi" w:cs="Arial"/>
        </w:rPr>
        <w:t xml:space="preserve"> only in very exceptional</w:t>
      </w:r>
      <w:r w:rsidR="006A12DD">
        <w:rPr>
          <w:rFonts w:eastAsiaTheme="minorHAnsi" w:cs="Arial"/>
        </w:rPr>
        <w:t xml:space="preserve"> and unavoidable</w:t>
      </w:r>
      <w:r w:rsidR="00A7755A">
        <w:rPr>
          <w:rFonts w:eastAsiaTheme="minorHAnsi" w:cs="Arial"/>
        </w:rPr>
        <w:t xml:space="preserve"> circumstances by contacting the CCP administrator who can arrange for a </w:t>
      </w:r>
      <w:r w:rsidR="006A12DD">
        <w:rPr>
          <w:rFonts w:eastAsiaTheme="minorHAnsi" w:cs="Arial"/>
        </w:rPr>
        <w:t>decision to be made accordingly through the Chair/Deputy Chair of CCP.</w:t>
      </w:r>
    </w:p>
    <w:p w14:paraId="24A74F89" w14:textId="77777777" w:rsidR="00F43A1E" w:rsidRDefault="00F43A1E" w:rsidP="00075B55">
      <w:pPr>
        <w:rPr>
          <w:rFonts w:eastAsiaTheme="minorHAnsi" w:cs="Arial"/>
        </w:rPr>
      </w:pPr>
    </w:p>
    <w:p w14:paraId="41A2FD75" w14:textId="5EB95108" w:rsidR="00FB487A" w:rsidRDefault="00F43A1E" w:rsidP="00075B55">
      <w:pPr>
        <w:rPr>
          <w:rFonts w:eastAsiaTheme="minorHAnsi" w:cs="Arial"/>
        </w:rPr>
      </w:pPr>
      <w:r>
        <w:rPr>
          <w:rFonts w:eastAsiaTheme="minorHAnsi" w:cs="Arial"/>
        </w:rPr>
        <w:t xml:space="preserve">All cases managed under CCP will be reviewed in Panel </w:t>
      </w:r>
      <w:r w:rsidR="00C56271">
        <w:rPr>
          <w:rFonts w:eastAsiaTheme="minorHAnsi" w:cs="Arial"/>
        </w:rPr>
        <w:t>on the basis of a RAG rated system based on need, cost and expected outcomes</w:t>
      </w:r>
      <w:r w:rsidR="00EF3E1C">
        <w:rPr>
          <w:rFonts w:eastAsiaTheme="minorHAnsi" w:cs="Arial"/>
        </w:rPr>
        <w:t xml:space="preserve"> </w:t>
      </w:r>
      <w:r>
        <w:rPr>
          <w:rFonts w:eastAsiaTheme="minorHAnsi" w:cs="Arial"/>
        </w:rPr>
        <w:t>.</w:t>
      </w:r>
      <w:r w:rsidR="00A7755A">
        <w:rPr>
          <w:rFonts w:eastAsiaTheme="minorHAnsi" w:cs="Arial"/>
        </w:rPr>
        <w:t xml:space="preserve">   </w:t>
      </w:r>
      <w:r w:rsidR="00FB487A">
        <w:rPr>
          <w:rFonts w:eastAsiaTheme="minorHAnsi" w:cs="Arial"/>
        </w:rPr>
        <w:t xml:space="preserve">  </w:t>
      </w:r>
    </w:p>
    <w:p w14:paraId="24E23E4F" w14:textId="77777777" w:rsidR="00191F3E" w:rsidRDefault="00191F3E" w:rsidP="00075B55">
      <w:pPr>
        <w:rPr>
          <w:rFonts w:eastAsiaTheme="minorHAnsi" w:cs="Arial"/>
        </w:rPr>
      </w:pPr>
    </w:p>
    <w:p w14:paraId="167D1725" w14:textId="41EBFAFF" w:rsidR="00D81B2E" w:rsidRPr="00D81B2E" w:rsidRDefault="00191F3E" w:rsidP="00D81B2E">
      <w:pPr>
        <w:rPr>
          <w:rFonts w:eastAsiaTheme="minorHAnsi" w:cs="Arial"/>
        </w:rPr>
      </w:pPr>
      <w:r>
        <w:rPr>
          <w:rFonts w:eastAsiaTheme="minorHAnsi" w:cs="Arial"/>
        </w:rPr>
        <w:t>In addition</w:t>
      </w:r>
      <w:r w:rsidR="00FB487A">
        <w:rPr>
          <w:rFonts w:eastAsiaTheme="minorHAnsi" w:cs="Arial"/>
        </w:rPr>
        <w:t xml:space="preserve"> to specific funding requests,</w:t>
      </w:r>
      <w:r>
        <w:rPr>
          <w:rFonts w:eastAsiaTheme="minorHAnsi" w:cs="Arial"/>
        </w:rPr>
        <w:t xml:space="preserve"> the CCP </w:t>
      </w:r>
      <w:r w:rsidR="00D81B2E">
        <w:rPr>
          <w:rFonts w:eastAsiaTheme="minorHAnsi" w:cs="Arial"/>
        </w:rPr>
        <w:t>will provide</w:t>
      </w:r>
      <w:r w:rsidR="00D81B2E">
        <w:rPr>
          <w:rFonts w:cs="Arial"/>
          <w:color w:val="000000"/>
          <w:sz w:val="23"/>
          <w:szCs w:val="23"/>
          <w:lang w:eastAsia="en-GB"/>
        </w:rPr>
        <w:t xml:space="preserve"> and</w:t>
      </w:r>
      <w:r w:rsidR="00FB487A">
        <w:rPr>
          <w:rFonts w:cs="Arial"/>
          <w:color w:val="000000"/>
          <w:sz w:val="23"/>
          <w:szCs w:val="23"/>
          <w:lang w:eastAsia="en-GB"/>
        </w:rPr>
        <w:t xml:space="preserve"> facilitate discussion time to</w:t>
      </w:r>
      <w:r w:rsidR="00D81B2E" w:rsidRPr="00191F3E">
        <w:rPr>
          <w:rFonts w:cs="Arial"/>
          <w:color w:val="000000"/>
          <w:sz w:val="23"/>
          <w:szCs w:val="23"/>
          <w:lang w:eastAsia="en-GB"/>
        </w:rPr>
        <w:t xml:space="preserve"> offer support</w:t>
      </w:r>
      <w:r w:rsidR="00FB487A">
        <w:rPr>
          <w:rFonts w:cs="Arial"/>
          <w:color w:val="000000"/>
          <w:sz w:val="23"/>
          <w:szCs w:val="23"/>
          <w:lang w:eastAsia="en-GB"/>
        </w:rPr>
        <w:t xml:space="preserve"> </w:t>
      </w:r>
      <w:r w:rsidR="00D55AE4">
        <w:rPr>
          <w:rFonts w:cs="Arial"/>
          <w:color w:val="000000"/>
          <w:sz w:val="23"/>
          <w:szCs w:val="23"/>
          <w:lang w:eastAsia="en-GB"/>
        </w:rPr>
        <w:t xml:space="preserve">discuss </w:t>
      </w:r>
      <w:r w:rsidR="00FB487A">
        <w:rPr>
          <w:rFonts w:cs="Arial"/>
          <w:color w:val="000000"/>
          <w:sz w:val="23"/>
          <w:szCs w:val="23"/>
          <w:lang w:eastAsia="en-GB"/>
        </w:rPr>
        <w:t>difficulties</w:t>
      </w:r>
      <w:r w:rsidR="00D81B2E" w:rsidRPr="00191F3E">
        <w:rPr>
          <w:rFonts w:cs="Arial"/>
          <w:color w:val="000000"/>
          <w:sz w:val="23"/>
          <w:szCs w:val="23"/>
          <w:lang w:eastAsia="en-GB"/>
        </w:rPr>
        <w:t xml:space="preserve"> r</w:t>
      </w:r>
      <w:r w:rsidR="00A7755A">
        <w:rPr>
          <w:rFonts w:cs="Arial"/>
          <w:color w:val="000000"/>
          <w:sz w:val="23"/>
          <w:szCs w:val="23"/>
          <w:lang w:eastAsia="en-GB"/>
        </w:rPr>
        <w:t>egarding complex care and support</w:t>
      </w:r>
      <w:r w:rsidR="00D81B2E" w:rsidRPr="00191F3E">
        <w:rPr>
          <w:rFonts w:cs="Arial"/>
          <w:color w:val="000000"/>
          <w:sz w:val="23"/>
          <w:szCs w:val="23"/>
          <w:lang w:eastAsia="en-GB"/>
        </w:rPr>
        <w:t xml:space="preserve"> options, and/or possible</w:t>
      </w:r>
      <w:r w:rsidR="00A7755A">
        <w:rPr>
          <w:rFonts w:cs="Arial"/>
          <w:color w:val="000000"/>
          <w:sz w:val="23"/>
          <w:szCs w:val="23"/>
          <w:lang w:eastAsia="en-GB"/>
        </w:rPr>
        <w:t xml:space="preserve"> next step</w:t>
      </w:r>
      <w:r w:rsidR="00D81B2E" w:rsidRPr="00191F3E">
        <w:rPr>
          <w:rFonts w:cs="Arial"/>
          <w:color w:val="000000"/>
          <w:sz w:val="23"/>
          <w:szCs w:val="23"/>
          <w:lang w:eastAsia="en-GB"/>
        </w:rPr>
        <w:t xml:space="preserve"> placements</w:t>
      </w:r>
      <w:r w:rsidR="00D81B2E">
        <w:rPr>
          <w:rFonts w:cs="Arial"/>
          <w:color w:val="000000"/>
          <w:sz w:val="23"/>
          <w:szCs w:val="23"/>
          <w:lang w:eastAsia="en-GB"/>
        </w:rPr>
        <w:t>/pathways.</w:t>
      </w:r>
      <w:r w:rsidR="00D81B2E" w:rsidRPr="00191F3E">
        <w:rPr>
          <w:rFonts w:cs="Arial"/>
          <w:color w:val="000000"/>
          <w:sz w:val="23"/>
          <w:szCs w:val="23"/>
          <w:lang w:eastAsia="en-GB"/>
        </w:rPr>
        <w:t xml:space="preserve"> </w:t>
      </w:r>
      <w:r w:rsidR="003C1C79">
        <w:rPr>
          <w:rFonts w:cs="Arial"/>
          <w:color w:val="000000"/>
          <w:sz w:val="23"/>
          <w:szCs w:val="23"/>
          <w:lang w:eastAsia="en-GB"/>
        </w:rPr>
        <w:t xml:space="preserve">It is envisaged that CCP panel members will provide additional direct support to Trust and SCC colleagues in overcoming placement and care issues.  </w:t>
      </w:r>
    </w:p>
    <w:p w14:paraId="57EDB3FE" w14:textId="77777777" w:rsidR="00BE7B97" w:rsidRDefault="00BE7B97" w:rsidP="00075B55">
      <w:pPr>
        <w:rPr>
          <w:rFonts w:eastAsiaTheme="minorHAnsi" w:cs="Arial"/>
        </w:rPr>
      </w:pPr>
    </w:p>
    <w:p w14:paraId="551EF109" w14:textId="77777777" w:rsidR="00D81B2E" w:rsidRPr="00D81B2E" w:rsidRDefault="003161D2" w:rsidP="00075B55">
      <w:pPr>
        <w:rPr>
          <w:rFonts w:eastAsiaTheme="minorHAnsi" w:cs="Arial"/>
          <w:b/>
          <w:u w:val="single"/>
        </w:rPr>
      </w:pPr>
      <w:r>
        <w:rPr>
          <w:rFonts w:eastAsiaTheme="minorHAnsi" w:cs="Arial"/>
          <w:b/>
          <w:u w:val="single"/>
        </w:rPr>
        <w:t xml:space="preserve">2.1 </w:t>
      </w:r>
      <w:r w:rsidR="00D81B2E" w:rsidRPr="00D81B2E">
        <w:rPr>
          <w:rFonts w:eastAsiaTheme="minorHAnsi" w:cs="Arial"/>
          <w:b/>
          <w:u w:val="single"/>
        </w:rPr>
        <w:t>Scope</w:t>
      </w:r>
    </w:p>
    <w:p w14:paraId="1F11D757" w14:textId="77777777" w:rsidR="00D81B2E" w:rsidRDefault="00D81B2E" w:rsidP="00075B55">
      <w:pPr>
        <w:rPr>
          <w:rFonts w:eastAsiaTheme="minorHAnsi" w:cs="Arial"/>
        </w:rPr>
      </w:pPr>
    </w:p>
    <w:p w14:paraId="0A7EDBC2" w14:textId="77777777" w:rsidR="00355E0A" w:rsidRDefault="00002DC4" w:rsidP="00075B55">
      <w:pPr>
        <w:rPr>
          <w:rFonts w:eastAsiaTheme="minorHAnsi" w:cs="Arial"/>
        </w:rPr>
      </w:pPr>
      <w:r>
        <w:rPr>
          <w:rFonts w:eastAsiaTheme="minorHAnsi" w:cs="Arial"/>
        </w:rPr>
        <w:t>Referrals to CCP</w:t>
      </w:r>
      <w:r w:rsidR="00EA1C7F">
        <w:rPr>
          <w:rFonts w:eastAsiaTheme="minorHAnsi" w:cs="Arial"/>
        </w:rPr>
        <w:t xml:space="preserve"> for funding</w:t>
      </w:r>
      <w:r w:rsidR="00DF6D54">
        <w:rPr>
          <w:rFonts w:eastAsiaTheme="minorHAnsi" w:cs="Arial"/>
        </w:rPr>
        <w:t xml:space="preserve"> will only be accepted</w:t>
      </w:r>
      <w:r>
        <w:rPr>
          <w:rFonts w:eastAsiaTheme="minorHAnsi" w:cs="Arial"/>
        </w:rPr>
        <w:t xml:space="preserve"> on the basis of</w:t>
      </w:r>
      <w:r w:rsidR="0020737D">
        <w:rPr>
          <w:rFonts w:eastAsiaTheme="minorHAnsi" w:cs="Arial"/>
        </w:rPr>
        <w:t xml:space="preserve"> meeting</w:t>
      </w:r>
      <w:r w:rsidR="00016B7A">
        <w:rPr>
          <w:rFonts w:eastAsiaTheme="minorHAnsi" w:cs="Arial"/>
        </w:rPr>
        <w:t xml:space="preserve"> all</w:t>
      </w:r>
      <w:r w:rsidR="00D31CDF">
        <w:rPr>
          <w:rFonts w:eastAsiaTheme="minorHAnsi" w:cs="Arial"/>
        </w:rPr>
        <w:t xml:space="preserve"> the following</w:t>
      </w:r>
      <w:r w:rsidR="00EA1C7F">
        <w:rPr>
          <w:rFonts w:eastAsiaTheme="minorHAnsi" w:cs="Arial"/>
        </w:rPr>
        <w:t xml:space="preserve"> criteria</w:t>
      </w:r>
      <w:r w:rsidR="0020737D">
        <w:rPr>
          <w:rFonts w:eastAsiaTheme="minorHAnsi" w:cs="Arial"/>
        </w:rPr>
        <w:t>. Those where the criteria is not met as below can be discussed within CCP to provide support and further consider whether the criteria could be met in due course.</w:t>
      </w:r>
      <w:r w:rsidR="00BE7B97">
        <w:rPr>
          <w:rFonts w:eastAsiaTheme="minorHAnsi" w:cs="Arial"/>
        </w:rPr>
        <w:t xml:space="preserve"> </w:t>
      </w:r>
    </w:p>
    <w:p w14:paraId="3FC148F7" w14:textId="77777777" w:rsidR="008B1E3E" w:rsidRDefault="008B1E3E" w:rsidP="00075B55">
      <w:pPr>
        <w:rPr>
          <w:rFonts w:eastAsiaTheme="minorHAnsi" w:cs="Arial"/>
        </w:rPr>
      </w:pPr>
    </w:p>
    <w:p w14:paraId="7518FB00" w14:textId="44A8AF76" w:rsidR="004B5DF7" w:rsidRDefault="004B5DF7" w:rsidP="006C28A3">
      <w:pPr>
        <w:pStyle w:val="ListParagraph"/>
        <w:numPr>
          <w:ilvl w:val="0"/>
          <w:numId w:val="8"/>
        </w:numPr>
        <w:rPr>
          <w:rFonts w:eastAsiaTheme="minorHAnsi" w:cs="Arial"/>
        </w:rPr>
      </w:pPr>
      <w:r>
        <w:rPr>
          <w:rFonts w:eastAsiaTheme="minorHAnsi" w:cs="Arial"/>
        </w:rPr>
        <w:t xml:space="preserve">The individual is open to both the Mental Health Social Care and </w:t>
      </w:r>
      <w:r w:rsidR="00C56271">
        <w:rPr>
          <w:rFonts w:eastAsiaTheme="minorHAnsi" w:cs="Arial"/>
        </w:rPr>
        <w:t>Complex Care</w:t>
      </w:r>
      <w:r w:rsidR="00EF3E1C">
        <w:rPr>
          <w:rFonts w:eastAsiaTheme="minorHAnsi" w:cs="Arial"/>
        </w:rPr>
        <w:t xml:space="preserve"> Team </w:t>
      </w:r>
      <w:r>
        <w:rPr>
          <w:rFonts w:eastAsiaTheme="minorHAnsi" w:cs="Arial"/>
        </w:rPr>
        <w:t>/ Mental Health Services.</w:t>
      </w:r>
    </w:p>
    <w:p w14:paraId="5A6235F2" w14:textId="77777777" w:rsidR="00274BA1" w:rsidRPr="00D81B2E" w:rsidRDefault="00D31CDF" w:rsidP="006C28A3">
      <w:pPr>
        <w:pStyle w:val="ListParagraph"/>
        <w:numPr>
          <w:ilvl w:val="0"/>
          <w:numId w:val="8"/>
        </w:numPr>
        <w:rPr>
          <w:rFonts w:eastAsiaTheme="minorHAnsi" w:cs="Arial"/>
        </w:rPr>
      </w:pPr>
      <w:r>
        <w:rPr>
          <w:rFonts w:eastAsiaTheme="minorHAnsi" w:cs="Arial"/>
        </w:rPr>
        <w:t>The individual is</w:t>
      </w:r>
      <w:r w:rsidR="00BE7B97">
        <w:rPr>
          <w:rFonts w:eastAsiaTheme="minorHAnsi" w:cs="Arial"/>
        </w:rPr>
        <w:t xml:space="preserve"> confirmed</w:t>
      </w:r>
      <w:r w:rsidR="00F84AA9">
        <w:rPr>
          <w:rFonts w:eastAsiaTheme="minorHAnsi" w:cs="Arial"/>
        </w:rPr>
        <w:t xml:space="preserve"> to be the responsibility of Somerset</w:t>
      </w:r>
      <w:r w:rsidR="00BE7B97">
        <w:rPr>
          <w:rFonts w:eastAsiaTheme="minorHAnsi" w:cs="Arial"/>
        </w:rPr>
        <w:t xml:space="preserve"> </w:t>
      </w:r>
      <w:r w:rsidR="00A7755A">
        <w:rPr>
          <w:rFonts w:eastAsiaTheme="minorHAnsi" w:cs="Arial"/>
        </w:rPr>
        <w:t>CCG (</w:t>
      </w:r>
      <w:r w:rsidR="00BE7B97">
        <w:rPr>
          <w:rFonts w:eastAsiaTheme="minorHAnsi" w:cs="Arial"/>
        </w:rPr>
        <w:t>ICS</w:t>
      </w:r>
      <w:r w:rsidR="00A7755A">
        <w:rPr>
          <w:rFonts w:eastAsiaTheme="minorHAnsi" w:cs="Arial"/>
        </w:rPr>
        <w:t>)</w:t>
      </w:r>
      <w:r w:rsidR="00BE7B97">
        <w:rPr>
          <w:rFonts w:eastAsiaTheme="minorHAnsi" w:cs="Arial"/>
        </w:rPr>
        <w:t xml:space="preserve"> and SCC</w:t>
      </w:r>
      <w:r w:rsidR="00F84AA9">
        <w:rPr>
          <w:rFonts w:eastAsiaTheme="minorHAnsi" w:cs="Arial"/>
        </w:rPr>
        <w:t xml:space="preserve"> from a health and/or social</w:t>
      </w:r>
      <w:r w:rsidR="00D411BB">
        <w:rPr>
          <w:rFonts w:eastAsiaTheme="minorHAnsi" w:cs="Arial"/>
        </w:rPr>
        <w:t xml:space="preserve"> care commissioning perspective.</w:t>
      </w:r>
      <w:r w:rsidR="00F84AA9">
        <w:rPr>
          <w:rFonts w:eastAsiaTheme="minorHAnsi" w:cs="Arial"/>
        </w:rPr>
        <w:t xml:space="preserve"> </w:t>
      </w:r>
      <w:r w:rsidR="00E65135">
        <w:rPr>
          <w:rFonts w:eastAsiaTheme="minorHAnsi" w:cs="Arial"/>
        </w:rPr>
        <w:t>The guidance</w:t>
      </w:r>
      <w:r w:rsidR="00034C94">
        <w:rPr>
          <w:rFonts w:eastAsiaTheme="minorHAnsi" w:cs="Arial"/>
        </w:rPr>
        <w:t xml:space="preserve"> support</w:t>
      </w:r>
      <w:r w:rsidR="00E65135">
        <w:rPr>
          <w:rFonts w:eastAsiaTheme="minorHAnsi" w:cs="Arial"/>
        </w:rPr>
        <w:t>ing this is</w:t>
      </w:r>
      <w:r w:rsidR="00034C94">
        <w:rPr>
          <w:rFonts w:eastAsiaTheme="minorHAnsi" w:cs="Arial"/>
        </w:rPr>
        <w:t xml:space="preserve"> the</w:t>
      </w:r>
      <w:r w:rsidR="00274BA1">
        <w:rPr>
          <w:rFonts w:eastAsiaTheme="minorHAnsi" w:cs="Arial"/>
        </w:rPr>
        <w:t xml:space="preserve"> Department of Health (August 2000) Who Pays Determining which NHS commissioner is responsible for m</w:t>
      </w:r>
      <w:r w:rsidR="00B20731">
        <w:rPr>
          <w:rFonts w:eastAsiaTheme="minorHAnsi" w:cs="Arial"/>
        </w:rPr>
        <w:t>aking to a provider (Sept 2020) and Ordinary</w:t>
      </w:r>
      <w:r w:rsidR="00BE7B97">
        <w:rPr>
          <w:rFonts w:eastAsiaTheme="minorHAnsi" w:cs="Arial"/>
        </w:rPr>
        <w:t xml:space="preserve"> residence guidance</w:t>
      </w:r>
      <w:r w:rsidR="00B20731">
        <w:rPr>
          <w:rFonts w:eastAsiaTheme="minorHAnsi" w:cs="Arial"/>
        </w:rPr>
        <w:t xml:space="preserve"> within the Care Act 2014.</w:t>
      </w:r>
    </w:p>
    <w:p w14:paraId="04BC6401" w14:textId="77777777" w:rsidR="001378ED" w:rsidRPr="00BE7B97" w:rsidRDefault="00D31CDF" w:rsidP="006C28A3">
      <w:pPr>
        <w:pStyle w:val="ListParagraph"/>
        <w:numPr>
          <w:ilvl w:val="0"/>
          <w:numId w:val="8"/>
        </w:numPr>
        <w:rPr>
          <w:rFonts w:eastAsiaTheme="minorHAnsi" w:cs="Arial"/>
        </w:rPr>
      </w:pPr>
      <w:r>
        <w:rPr>
          <w:rFonts w:eastAsiaTheme="minorHAnsi" w:cs="Arial"/>
        </w:rPr>
        <w:t>The individual</w:t>
      </w:r>
      <w:r w:rsidR="00002DC4">
        <w:rPr>
          <w:rFonts w:eastAsiaTheme="minorHAnsi" w:cs="Arial"/>
        </w:rPr>
        <w:t xml:space="preserve"> may</w:t>
      </w:r>
      <w:r w:rsidR="00766C4B">
        <w:rPr>
          <w:rFonts w:eastAsiaTheme="minorHAnsi" w:cs="Arial"/>
        </w:rPr>
        <w:t>/will</w:t>
      </w:r>
      <w:r w:rsidR="00002DC4">
        <w:rPr>
          <w:rFonts w:eastAsiaTheme="minorHAnsi" w:cs="Arial"/>
        </w:rPr>
        <w:t xml:space="preserve"> have identified</w:t>
      </w:r>
      <w:r w:rsidR="00867600">
        <w:rPr>
          <w:rFonts w:eastAsiaTheme="minorHAnsi" w:cs="Arial"/>
        </w:rPr>
        <w:t xml:space="preserve"> exceptional</w:t>
      </w:r>
      <w:r w:rsidR="00002DC4">
        <w:rPr>
          <w:rFonts w:eastAsiaTheme="minorHAnsi" w:cs="Arial"/>
        </w:rPr>
        <w:t xml:space="preserve"> </w:t>
      </w:r>
      <w:r w:rsidR="00002DC4" w:rsidRPr="00002DC4">
        <w:rPr>
          <w:rFonts w:eastAsiaTheme="minorHAnsi" w:cs="Arial"/>
        </w:rPr>
        <w:t>Mental Health or Social Care</w:t>
      </w:r>
      <w:r w:rsidR="00002DC4">
        <w:rPr>
          <w:rFonts w:eastAsiaTheme="minorHAnsi" w:cs="Arial"/>
        </w:rPr>
        <w:t xml:space="preserve"> needs that cannot be met throug</w:t>
      </w:r>
      <w:r w:rsidR="001378ED">
        <w:rPr>
          <w:rFonts w:eastAsiaTheme="minorHAnsi" w:cs="Arial"/>
        </w:rPr>
        <w:t>h</w:t>
      </w:r>
      <w:r w:rsidR="00B20731">
        <w:rPr>
          <w:rFonts w:eastAsiaTheme="minorHAnsi" w:cs="Arial"/>
        </w:rPr>
        <w:t xml:space="preserve"> </w:t>
      </w:r>
      <w:r w:rsidR="001378ED">
        <w:rPr>
          <w:rFonts w:eastAsiaTheme="minorHAnsi" w:cs="Arial"/>
        </w:rPr>
        <w:t>services already commissioned</w:t>
      </w:r>
      <w:r w:rsidR="00B20731">
        <w:rPr>
          <w:rFonts w:eastAsiaTheme="minorHAnsi" w:cs="Arial"/>
        </w:rPr>
        <w:t xml:space="preserve"> in Somerset</w:t>
      </w:r>
      <w:r w:rsidR="001378ED">
        <w:rPr>
          <w:rFonts w:eastAsiaTheme="minorHAnsi" w:cs="Arial"/>
        </w:rPr>
        <w:t>.</w:t>
      </w:r>
    </w:p>
    <w:p w14:paraId="4A551ABB" w14:textId="609E016F" w:rsidR="00F64525" w:rsidRDefault="00F64525" w:rsidP="006C28A3">
      <w:pPr>
        <w:pStyle w:val="ListParagraph"/>
        <w:numPr>
          <w:ilvl w:val="0"/>
          <w:numId w:val="8"/>
        </w:numPr>
        <w:rPr>
          <w:rFonts w:eastAsiaTheme="minorHAnsi" w:cs="Arial"/>
        </w:rPr>
      </w:pPr>
      <w:r>
        <w:rPr>
          <w:rFonts w:eastAsiaTheme="minorHAnsi" w:cs="Arial"/>
        </w:rPr>
        <w:t>The proposed cost is</w:t>
      </w:r>
      <w:r w:rsidR="00BE7B97">
        <w:rPr>
          <w:rFonts w:eastAsiaTheme="minorHAnsi" w:cs="Arial"/>
        </w:rPr>
        <w:t xml:space="preserve"> over and above agreed local Somerset County Council standard</w:t>
      </w:r>
      <w:r w:rsidR="00D411BB">
        <w:rPr>
          <w:rFonts w:eastAsiaTheme="minorHAnsi" w:cs="Arial"/>
        </w:rPr>
        <w:t xml:space="preserve"> care</w:t>
      </w:r>
      <w:r w:rsidR="00BE7B97">
        <w:rPr>
          <w:rFonts w:eastAsiaTheme="minorHAnsi" w:cs="Arial"/>
        </w:rPr>
        <w:t xml:space="preserve"> rates</w:t>
      </w:r>
      <w:r w:rsidR="00867600">
        <w:rPr>
          <w:rFonts w:eastAsiaTheme="minorHAnsi" w:cs="Arial"/>
        </w:rPr>
        <w:t>.</w:t>
      </w:r>
      <w:r w:rsidR="00D31CDF">
        <w:rPr>
          <w:rFonts w:eastAsiaTheme="minorHAnsi" w:cs="Arial"/>
        </w:rPr>
        <w:t xml:space="preserve"> (Appendix</w:t>
      </w:r>
      <w:r w:rsidR="003161D2">
        <w:rPr>
          <w:rFonts w:eastAsiaTheme="minorHAnsi" w:cs="Arial"/>
        </w:rPr>
        <w:t xml:space="preserve"> B</w:t>
      </w:r>
      <w:r w:rsidR="00BE7B97">
        <w:rPr>
          <w:rFonts w:eastAsiaTheme="minorHAnsi" w:cs="Arial"/>
        </w:rPr>
        <w:t>).</w:t>
      </w:r>
    </w:p>
    <w:p w14:paraId="28A9E621" w14:textId="055FE676" w:rsidR="009C48EC" w:rsidRDefault="009C48EC" w:rsidP="006C28A3">
      <w:pPr>
        <w:pStyle w:val="ListParagraph"/>
        <w:numPr>
          <w:ilvl w:val="0"/>
          <w:numId w:val="8"/>
        </w:numPr>
        <w:rPr>
          <w:rFonts w:eastAsiaTheme="minorHAnsi" w:cs="Arial"/>
        </w:rPr>
      </w:pPr>
      <w:bookmarkStart w:id="0" w:name="_Hlk94174471"/>
      <w:r>
        <w:rPr>
          <w:rFonts w:eastAsiaTheme="minorHAnsi" w:cs="Arial"/>
        </w:rPr>
        <w:t>CCP will</w:t>
      </w:r>
      <w:r w:rsidR="003C1C79">
        <w:rPr>
          <w:rFonts w:eastAsiaTheme="minorHAnsi" w:cs="Arial"/>
        </w:rPr>
        <w:t xml:space="preserve"> </w:t>
      </w:r>
      <w:r>
        <w:rPr>
          <w:rFonts w:eastAsiaTheme="minorHAnsi" w:cs="Arial"/>
        </w:rPr>
        <w:t xml:space="preserve">support </w:t>
      </w:r>
      <w:r w:rsidR="00D93AD0">
        <w:rPr>
          <w:rFonts w:eastAsiaTheme="minorHAnsi" w:cs="Arial"/>
        </w:rPr>
        <w:t>the commissioning process</w:t>
      </w:r>
      <w:r w:rsidR="003C1C79">
        <w:rPr>
          <w:rFonts w:eastAsiaTheme="minorHAnsi" w:cs="Arial"/>
        </w:rPr>
        <w:t xml:space="preserve"> on the basis of</w:t>
      </w:r>
      <w:r w:rsidR="00D93AD0">
        <w:rPr>
          <w:rFonts w:eastAsiaTheme="minorHAnsi" w:cs="Arial"/>
        </w:rPr>
        <w:t xml:space="preserve"> exceptional and</w:t>
      </w:r>
      <w:r w:rsidR="003C1C79">
        <w:rPr>
          <w:rFonts w:eastAsiaTheme="minorHAnsi" w:cs="Arial"/>
        </w:rPr>
        <w:t xml:space="preserve"> high</w:t>
      </w:r>
      <w:r w:rsidR="00D93AD0">
        <w:rPr>
          <w:rFonts w:eastAsiaTheme="minorHAnsi" w:cs="Arial"/>
        </w:rPr>
        <w:t xml:space="preserve"> complexity for individuals where the primary need relates to a Learning Disability and/or Autism. Although CCP will oversee the commissioning</w:t>
      </w:r>
      <w:r w:rsidR="00B5076B">
        <w:rPr>
          <w:rFonts w:eastAsiaTheme="minorHAnsi" w:cs="Arial"/>
        </w:rPr>
        <w:t xml:space="preserve"> process</w:t>
      </w:r>
      <w:r w:rsidR="00D93AD0">
        <w:rPr>
          <w:rFonts w:eastAsiaTheme="minorHAnsi" w:cs="Arial"/>
        </w:rPr>
        <w:t xml:space="preserve"> and review of any such packages, </w:t>
      </w:r>
      <w:r w:rsidR="00B5076B">
        <w:rPr>
          <w:rFonts w:eastAsiaTheme="minorHAnsi" w:cs="Arial"/>
        </w:rPr>
        <w:t xml:space="preserve">financial </w:t>
      </w:r>
      <w:r w:rsidR="00D93AD0">
        <w:rPr>
          <w:rFonts w:eastAsiaTheme="minorHAnsi" w:cs="Arial"/>
        </w:rPr>
        <w:t xml:space="preserve">accountability will remain with the CCG and SCC until this position is changed with agreement </w:t>
      </w:r>
      <w:r w:rsidR="003F25B1">
        <w:rPr>
          <w:rFonts w:eastAsiaTheme="minorHAnsi" w:cs="Arial"/>
        </w:rPr>
        <w:t>from the CCG, SCC and SFT.</w:t>
      </w:r>
      <w:r w:rsidR="00B5076B">
        <w:rPr>
          <w:rFonts w:eastAsiaTheme="minorHAnsi" w:cs="Arial"/>
        </w:rPr>
        <w:t xml:space="preserve"> </w:t>
      </w:r>
      <w:r w:rsidR="00FB2ED2">
        <w:rPr>
          <w:rFonts w:eastAsiaTheme="minorHAnsi" w:cs="Arial"/>
        </w:rPr>
        <w:t xml:space="preserve">Both the CCG and SCC will be informed of all funding requests for this client group before any CCP hearing. Any funding agreed for this client group will be recorded separately. </w:t>
      </w:r>
      <w:r w:rsidR="00B5076B">
        <w:rPr>
          <w:rFonts w:eastAsiaTheme="minorHAnsi" w:cs="Arial"/>
        </w:rPr>
        <w:t xml:space="preserve">Individuals within this group with additional identified/dual Mental Health needs will be considered with any funding element related to their mental health needs being funded via CCP. </w:t>
      </w:r>
      <w:r w:rsidR="00D93AD0">
        <w:rPr>
          <w:rFonts w:eastAsiaTheme="minorHAnsi" w:cs="Arial"/>
        </w:rPr>
        <w:t xml:space="preserve"> </w:t>
      </w:r>
    </w:p>
    <w:bookmarkEnd w:id="0"/>
    <w:p w14:paraId="3DEF63C1" w14:textId="77777777" w:rsidR="00D31CDF" w:rsidRDefault="00D31CDF" w:rsidP="00D31CDF">
      <w:pPr>
        <w:rPr>
          <w:rFonts w:eastAsiaTheme="minorHAnsi" w:cs="Arial"/>
        </w:rPr>
      </w:pPr>
    </w:p>
    <w:p w14:paraId="68D83517" w14:textId="77777777" w:rsidR="003D618D" w:rsidRDefault="003D618D" w:rsidP="00867600">
      <w:pPr>
        <w:rPr>
          <w:rFonts w:eastAsiaTheme="minorHAnsi" w:cs="Arial"/>
          <w:color w:val="FF0000"/>
        </w:rPr>
      </w:pPr>
    </w:p>
    <w:p w14:paraId="4979B522" w14:textId="77777777" w:rsidR="00652EC7" w:rsidRDefault="00652EC7" w:rsidP="00867600">
      <w:pPr>
        <w:rPr>
          <w:rFonts w:eastAsiaTheme="minorHAnsi" w:cs="Arial"/>
          <w:color w:val="FF0000"/>
        </w:rPr>
      </w:pPr>
    </w:p>
    <w:p w14:paraId="5D26A3E7" w14:textId="77777777" w:rsidR="003D618D" w:rsidRPr="003161D2" w:rsidRDefault="003161D2" w:rsidP="003D618D">
      <w:pPr>
        <w:pStyle w:val="BodyTextIndent2"/>
        <w:spacing w:after="0" w:line="240" w:lineRule="auto"/>
        <w:ind w:left="0"/>
        <w:jc w:val="both"/>
        <w:rPr>
          <w:b/>
          <w:color w:val="000000"/>
          <w:u w:val="single"/>
        </w:rPr>
      </w:pPr>
      <w:r>
        <w:rPr>
          <w:b/>
          <w:color w:val="000000"/>
        </w:rPr>
        <w:t xml:space="preserve">3 </w:t>
      </w:r>
      <w:r w:rsidRPr="003161D2">
        <w:rPr>
          <w:b/>
          <w:color w:val="000000"/>
          <w:u w:val="single"/>
        </w:rPr>
        <w:t>CORE OPERATING PRINCIPLES OF CCP</w:t>
      </w:r>
    </w:p>
    <w:p w14:paraId="2E6ACADB" w14:textId="77777777" w:rsidR="003D618D" w:rsidRDefault="003D618D" w:rsidP="003D618D">
      <w:pPr>
        <w:pStyle w:val="BodyTextIndent2"/>
        <w:spacing w:after="0" w:line="240" w:lineRule="auto"/>
        <w:ind w:left="0"/>
        <w:jc w:val="both"/>
        <w:rPr>
          <w:b/>
          <w:color w:val="000000"/>
        </w:rPr>
      </w:pPr>
    </w:p>
    <w:p w14:paraId="51F509A7" w14:textId="77777777" w:rsidR="003D618D" w:rsidRDefault="003D618D" w:rsidP="006C28A3">
      <w:pPr>
        <w:pStyle w:val="ListParagraph"/>
        <w:numPr>
          <w:ilvl w:val="0"/>
          <w:numId w:val="4"/>
        </w:numPr>
      </w:pPr>
      <w:r>
        <w:t>To ensure the required care and support of individuals is not delayed</w:t>
      </w:r>
    </w:p>
    <w:p w14:paraId="40801A31" w14:textId="77777777" w:rsidR="003D618D" w:rsidRDefault="003D618D" w:rsidP="006C28A3">
      <w:pPr>
        <w:pStyle w:val="ListParagraph"/>
        <w:numPr>
          <w:ilvl w:val="0"/>
          <w:numId w:val="4"/>
        </w:numPr>
      </w:pPr>
      <w:r>
        <w:t>To minimise length of hospital stay</w:t>
      </w:r>
    </w:p>
    <w:p w14:paraId="0D79B16E" w14:textId="77777777" w:rsidR="003D618D" w:rsidRDefault="003D618D" w:rsidP="006C28A3">
      <w:pPr>
        <w:pStyle w:val="ListParagraph"/>
        <w:numPr>
          <w:ilvl w:val="0"/>
          <w:numId w:val="4"/>
        </w:numPr>
      </w:pPr>
      <w:r>
        <w:t>To keep up to date with local and national changes in policy</w:t>
      </w:r>
      <w:r w:rsidR="00593F1B">
        <w:t xml:space="preserve"> relevant to CCP.</w:t>
      </w:r>
    </w:p>
    <w:p w14:paraId="10988475" w14:textId="77777777" w:rsidR="003D618D" w:rsidRDefault="003D618D" w:rsidP="006C28A3">
      <w:pPr>
        <w:pStyle w:val="ListParagraph"/>
        <w:numPr>
          <w:ilvl w:val="0"/>
          <w:numId w:val="4"/>
        </w:numPr>
      </w:pPr>
      <w:r>
        <w:t>Ensure decisions are value for money</w:t>
      </w:r>
    </w:p>
    <w:p w14:paraId="461E3885" w14:textId="77777777" w:rsidR="00593F1B" w:rsidRDefault="00593F1B" w:rsidP="006C28A3">
      <w:pPr>
        <w:pStyle w:val="ListParagraph"/>
        <w:numPr>
          <w:ilvl w:val="0"/>
          <w:numId w:val="4"/>
        </w:numPr>
      </w:pPr>
      <w:r>
        <w:t>Work with individuals, their families and significant others</w:t>
      </w:r>
    </w:p>
    <w:p w14:paraId="106B331E" w14:textId="77777777" w:rsidR="003D618D" w:rsidRDefault="003D618D" w:rsidP="006C28A3">
      <w:pPr>
        <w:pStyle w:val="ListParagraph"/>
        <w:numPr>
          <w:ilvl w:val="0"/>
          <w:numId w:val="4"/>
        </w:numPr>
      </w:pPr>
      <w:r>
        <w:t>To promote recovery, wellbeing and independence.</w:t>
      </w:r>
    </w:p>
    <w:p w14:paraId="7B94AF7B" w14:textId="77777777" w:rsidR="003D618D" w:rsidRDefault="003D618D" w:rsidP="006C28A3">
      <w:pPr>
        <w:pStyle w:val="ListParagraph"/>
        <w:numPr>
          <w:ilvl w:val="0"/>
          <w:numId w:val="4"/>
        </w:numPr>
      </w:pPr>
      <w:r>
        <w:t xml:space="preserve">To </w:t>
      </w:r>
      <w:r w:rsidR="00E102A8">
        <w:t xml:space="preserve">make use of and </w:t>
      </w:r>
      <w:r>
        <w:t>work in conjunction with all wider local complex review functions to support decision making such as SCRP and Peer forums.</w:t>
      </w:r>
    </w:p>
    <w:p w14:paraId="121CFA9F" w14:textId="77777777" w:rsidR="003D618D" w:rsidRDefault="003D618D" w:rsidP="006C28A3">
      <w:pPr>
        <w:pStyle w:val="ListParagraph"/>
        <w:numPr>
          <w:ilvl w:val="0"/>
          <w:numId w:val="4"/>
        </w:numPr>
      </w:pPr>
      <w:r>
        <w:t>Develop links to wider services and peer review processes.</w:t>
      </w:r>
    </w:p>
    <w:p w14:paraId="7CC75FD4" w14:textId="77777777" w:rsidR="003D618D" w:rsidRDefault="003D618D" w:rsidP="006C28A3">
      <w:pPr>
        <w:pStyle w:val="ListParagraph"/>
        <w:numPr>
          <w:ilvl w:val="0"/>
          <w:numId w:val="4"/>
        </w:numPr>
      </w:pPr>
      <w:r>
        <w:t xml:space="preserve">Work in a collaborative way with Providers/ Somerset Commissioners/ open frameworks. </w:t>
      </w:r>
    </w:p>
    <w:p w14:paraId="07B43F75" w14:textId="77777777" w:rsidR="003D618D" w:rsidRDefault="003D618D" w:rsidP="006C28A3">
      <w:pPr>
        <w:pStyle w:val="ListParagraph"/>
        <w:numPr>
          <w:ilvl w:val="0"/>
          <w:numId w:val="4"/>
        </w:numPr>
      </w:pPr>
      <w:r>
        <w:t>Escalate unmet need and significant risks accordingly through the use of agreed risk register.</w:t>
      </w:r>
    </w:p>
    <w:p w14:paraId="28F30D4C" w14:textId="77777777" w:rsidR="003D618D" w:rsidRDefault="003D618D" w:rsidP="006C28A3">
      <w:pPr>
        <w:pStyle w:val="ListParagraph"/>
        <w:numPr>
          <w:ilvl w:val="0"/>
          <w:numId w:val="4"/>
        </w:numPr>
      </w:pPr>
      <w:r>
        <w:t>Ensu</w:t>
      </w:r>
      <w:r w:rsidR="00593F1B">
        <w:t>re funding decisions are within CCP scope</w:t>
      </w:r>
      <w:r>
        <w:t xml:space="preserve"> to identified mental health and social care needs</w:t>
      </w:r>
    </w:p>
    <w:p w14:paraId="0F51F361" w14:textId="77777777" w:rsidR="003D618D" w:rsidRDefault="00E102A8" w:rsidP="006C28A3">
      <w:pPr>
        <w:pStyle w:val="ListParagraph"/>
        <w:numPr>
          <w:ilvl w:val="0"/>
          <w:numId w:val="4"/>
        </w:numPr>
      </w:pPr>
      <w:r>
        <w:t xml:space="preserve">Ensure a </w:t>
      </w:r>
      <w:r w:rsidR="003D618D">
        <w:t>robust and cons</w:t>
      </w:r>
      <w:r>
        <w:t>istent review process is always in place</w:t>
      </w:r>
      <w:r w:rsidR="003D618D">
        <w:t>.</w:t>
      </w:r>
    </w:p>
    <w:p w14:paraId="55F290C0" w14:textId="77777777" w:rsidR="003D618D" w:rsidRDefault="003D618D" w:rsidP="006C28A3">
      <w:pPr>
        <w:pStyle w:val="ListParagraph"/>
        <w:numPr>
          <w:ilvl w:val="0"/>
          <w:numId w:val="4"/>
        </w:numPr>
      </w:pPr>
      <w:r>
        <w:t>To further develop an ethos of working with providers</w:t>
      </w:r>
    </w:p>
    <w:p w14:paraId="55A7FEA6" w14:textId="77777777" w:rsidR="003D618D" w:rsidRDefault="003D618D" w:rsidP="006C28A3">
      <w:pPr>
        <w:pStyle w:val="ListParagraph"/>
        <w:numPr>
          <w:ilvl w:val="0"/>
          <w:numId w:val="4"/>
        </w:numPr>
      </w:pPr>
      <w:r>
        <w:t>Outcome focussed decisions which are based on recovery and promoting independence.</w:t>
      </w:r>
    </w:p>
    <w:p w14:paraId="28E10B89" w14:textId="77777777" w:rsidR="003D618D" w:rsidRDefault="003D618D" w:rsidP="006C28A3">
      <w:pPr>
        <w:pStyle w:val="ListParagraph"/>
        <w:numPr>
          <w:ilvl w:val="0"/>
          <w:numId w:val="4"/>
        </w:numPr>
      </w:pPr>
      <w:r>
        <w:t xml:space="preserve">Link into Somerset-Wide commissioning intentions and strategy. </w:t>
      </w:r>
    </w:p>
    <w:p w14:paraId="5C844974" w14:textId="77777777" w:rsidR="003D618D" w:rsidRDefault="003D618D" w:rsidP="00E102A8">
      <w:pPr>
        <w:pStyle w:val="ListParagraph"/>
        <w:numPr>
          <w:ilvl w:val="0"/>
          <w:numId w:val="4"/>
        </w:numPr>
      </w:pPr>
      <w:r>
        <w:t xml:space="preserve">Work with and contribute to review of agreed 117 aftercare policy </w:t>
      </w:r>
      <w:r w:rsidR="00593F1B">
        <w:t>for Somerset.</w:t>
      </w:r>
      <w:r>
        <w:t xml:space="preserve"> </w:t>
      </w:r>
    </w:p>
    <w:p w14:paraId="5A02DA4E" w14:textId="77777777" w:rsidR="003D618D" w:rsidRDefault="00593F1B" w:rsidP="006C28A3">
      <w:pPr>
        <w:pStyle w:val="ListParagraph"/>
        <w:numPr>
          <w:ilvl w:val="0"/>
          <w:numId w:val="4"/>
        </w:numPr>
      </w:pPr>
      <w:r>
        <w:t>Work with QA team/s, CQC and</w:t>
      </w:r>
      <w:r w:rsidR="003D618D">
        <w:t xml:space="preserve"> safeguarding where indicated.</w:t>
      </w:r>
    </w:p>
    <w:p w14:paraId="3A7DC325" w14:textId="77777777" w:rsidR="003D618D" w:rsidRDefault="003D618D" w:rsidP="006C28A3">
      <w:pPr>
        <w:pStyle w:val="ListParagraph"/>
        <w:numPr>
          <w:ilvl w:val="0"/>
          <w:numId w:val="4"/>
        </w:numPr>
      </w:pPr>
      <w:r>
        <w:t xml:space="preserve">Identify areas for development with providers, third sector and voluntary networks. </w:t>
      </w:r>
    </w:p>
    <w:p w14:paraId="05B42FFF" w14:textId="77777777" w:rsidR="00605F42" w:rsidRDefault="00605F42" w:rsidP="00605F42"/>
    <w:p w14:paraId="6CA1FD09" w14:textId="77777777" w:rsidR="00605F42" w:rsidRPr="00B36CAF" w:rsidRDefault="00605F42" w:rsidP="00605F42"/>
    <w:p w14:paraId="1D753357" w14:textId="77777777" w:rsidR="00605F42" w:rsidRDefault="00605F42" w:rsidP="00605F42">
      <w:pPr>
        <w:pStyle w:val="BodyTextIndent2"/>
        <w:spacing w:after="0" w:line="240" w:lineRule="auto"/>
        <w:ind w:left="720" w:hanging="720"/>
        <w:jc w:val="both"/>
        <w:rPr>
          <w:b/>
          <w:color w:val="000000"/>
          <w:u w:val="single"/>
        </w:rPr>
      </w:pPr>
      <w:r>
        <w:rPr>
          <w:b/>
          <w:color w:val="000000"/>
        </w:rPr>
        <w:t xml:space="preserve">4      </w:t>
      </w:r>
      <w:r w:rsidRPr="006C28A3">
        <w:rPr>
          <w:b/>
          <w:color w:val="000000"/>
          <w:u w:val="single"/>
        </w:rPr>
        <w:t>CCP Membership</w:t>
      </w:r>
    </w:p>
    <w:p w14:paraId="343F47D4" w14:textId="77777777" w:rsidR="006C28A3" w:rsidRDefault="006C28A3" w:rsidP="00605F42">
      <w:pPr>
        <w:pStyle w:val="BodyTextIndent2"/>
        <w:spacing w:after="0" w:line="240" w:lineRule="auto"/>
        <w:ind w:left="720" w:hanging="720"/>
        <w:jc w:val="both"/>
        <w:rPr>
          <w:b/>
          <w:color w:val="000000"/>
        </w:rPr>
      </w:pPr>
    </w:p>
    <w:p w14:paraId="7AB364D5" w14:textId="77777777" w:rsidR="00605F42" w:rsidRPr="00AD38BC" w:rsidRDefault="00605F42" w:rsidP="006C28A3">
      <w:pPr>
        <w:pStyle w:val="BodyTextIndent2"/>
        <w:numPr>
          <w:ilvl w:val="0"/>
          <w:numId w:val="6"/>
        </w:numPr>
        <w:spacing w:after="0" w:line="240" w:lineRule="auto"/>
        <w:jc w:val="both"/>
        <w:rPr>
          <w:b/>
          <w:color w:val="000000"/>
        </w:rPr>
      </w:pPr>
      <w:r>
        <w:rPr>
          <w:color w:val="000000"/>
        </w:rPr>
        <w:t>Senior SFT/ICS Commissioning Manager (Chair)</w:t>
      </w:r>
    </w:p>
    <w:p w14:paraId="4F3030E5" w14:textId="77777777" w:rsidR="00605F42" w:rsidRPr="00AD38BC" w:rsidRDefault="00605F42" w:rsidP="006C28A3">
      <w:pPr>
        <w:pStyle w:val="BodyTextIndent2"/>
        <w:numPr>
          <w:ilvl w:val="0"/>
          <w:numId w:val="6"/>
        </w:numPr>
        <w:spacing w:after="0" w:line="240" w:lineRule="auto"/>
        <w:jc w:val="both"/>
        <w:rPr>
          <w:b/>
          <w:color w:val="000000"/>
        </w:rPr>
      </w:pPr>
      <w:r>
        <w:rPr>
          <w:color w:val="000000"/>
        </w:rPr>
        <w:t>Operational/Commissioning Manager SCC (Deputy Chair)</w:t>
      </w:r>
    </w:p>
    <w:p w14:paraId="06D0A23A" w14:textId="77777777" w:rsidR="00605F42" w:rsidRPr="00AD38BC" w:rsidRDefault="00605F42" w:rsidP="006C28A3">
      <w:pPr>
        <w:pStyle w:val="BodyTextIndent2"/>
        <w:numPr>
          <w:ilvl w:val="0"/>
          <w:numId w:val="6"/>
        </w:numPr>
        <w:spacing w:after="0" w:line="240" w:lineRule="auto"/>
        <w:jc w:val="both"/>
        <w:rPr>
          <w:b/>
          <w:color w:val="000000"/>
        </w:rPr>
      </w:pPr>
      <w:r>
        <w:rPr>
          <w:color w:val="000000"/>
        </w:rPr>
        <w:t>Commissioning Manager CCG/ ICS</w:t>
      </w:r>
    </w:p>
    <w:p w14:paraId="0CEC472B" w14:textId="39FEA5E2" w:rsidR="00605F42" w:rsidRPr="00AD38BC" w:rsidRDefault="00605F42" w:rsidP="006C28A3">
      <w:pPr>
        <w:pStyle w:val="BodyTextIndent2"/>
        <w:numPr>
          <w:ilvl w:val="0"/>
          <w:numId w:val="6"/>
        </w:numPr>
        <w:spacing w:after="0" w:line="240" w:lineRule="auto"/>
        <w:jc w:val="both"/>
        <w:rPr>
          <w:b/>
          <w:color w:val="000000"/>
        </w:rPr>
      </w:pPr>
      <w:r>
        <w:rPr>
          <w:color w:val="000000"/>
        </w:rPr>
        <w:t>Clinical Lead</w:t>
      </w:r>
      <w:r w:rsidR="003C1C79">
        <w:rPr>
          <w:color w:val="000000"/>
        </w:rPr>
        <w:t xml:space="preserve"> Complex Care Team</w:t>
      </w:r>
    </w:p>
    <w:p w14:paraId="5F72E3A8" w14:textId="77777777" w:rsidR="00605F42" w:rsidRPr="00AD38BC" w:rsidRDefault="00605F42" w:rsidP="006C28A3">
      <w:pPr>
        <w:pStyle w:val="BodyTextIndent2"/>
        <w:numPr>
          <w:ilvl w:val="0"/>
          <w:numId w:val="6"/>
        </w:numPr>
        <w:spacing w:after="0" w:line="240" w:lineRule="auto"/>
        <w:jc w:val="both"/>
        <w:rPr>
          <w:b/>
          <w:color w:val="000000"/>
        </w:rPr>
      </w:pPr>
      <w:r>
        <w:rPr>
          <w:color w:val="000000"/>
        </w:rPr>
        <w:t xml:space="preserve">Additional Social Care/Health representatives as required </w:t>
      </w:r>
    </w:p>
    <w:p w14:paraId="55949639" w14:textId="77777777" w:rsidR="00605F42" w:rsidRPr="00AD38BC" w:rsidRDefault="00605F42" w:rsidP="006C28A3">
      <w:pPr>
        <w:pStyle w:val="BodyTextIndent2"/>
        <w:numPr>
          <w:ilvl w:val="0"/>
          <w:numId w:val="6"/>
        </w:numPr>
        <w:spacing w:after="0" w:line="240" w:lineRule="auto"/>
        <w:jc w:val="both"/>
        <w:rPr>
          <w:b/>
          <w:color w:val="000000"/>
        </w:rPr>
      </w:pPr>
      <w:r>
        <w:rPr>
          <w:color w:val="000000"/>
        </w:rPr>
        <w:t>Panel Administrator</w:t>
      </w:r>
    </w:p>
    <w:p w14:paraId="4053DBA7" w14:textId="77777777" w:rsidR="00605F42" w:rsidRPr="006A12DD" w:rsidRDefault="00605F42" w:rsidP="006C28A3">
      <w:pPr>
        <w:pStyle w:val="BodyTextIndent2"/>
        <w:numPr>
          <w:ilvl w:val="0"/>
          <w:numId w:val="6"/>
        </w:numPr>
        <w:spacing w:after="0" w:line="240" w:lineRule="auto"/>
        <w:jc w:val="both"/>
        <w:rPr>
          <w:b/>
          <w:color w:val="000000"/>
        </w:rPr>
      </w:pPr>
      <w:r>
        <w:rPr>
          <w:color w:val="000000"/>
        </w:rPr>
        <w:t>CCP Finance Liaison Officer</w:t>
      </w:r>
    </w:p>
    <w:p w14:paraId="6C1E726D" w14:textId="77777777" w:rsidR="00605F42" w:rsidRPr="008E12BC" w:rsidRDefault="00605F42" w:rsidP="006C28A3">
      <w:pPr>
        <w:pStyle w:val="BodyTextIndent2"/>
        <w:numPr>
          <w:ilvl w:val="0"/>
          <w:numId w:val="6"/>
        </w:numPr>
        <w:spacing w:after="0" w:line="240" w:lineRule="auto"/>
        <w:jc w:val="both"/>
        <w:rPr>
          <w:b/>
          <w:color w:val="000000"/>
        </w:rPr>
      </w:pPr>
      <w:r>
        <w:rPr>
          <w:color w:val="000000"/>
        </w:rPr>
        <w:t xml:space="preserve">Peer Representatives (Personal Health Budgets) </w:t>
      </w:r>
    </w:p>
    <w:p w14:paraId="6718BADA" w14:textId="77777777" w:rsidR="00605F42" w:rsidRDefault="00605F42" w:rsidP="00605F42">
      <w:pPr>
        <w:pStyle w:val="BodyTextIndent2"/>
        <w:spacing w:after="0" w:line="240" w:lineRule="auto"/>
        <w:jc w:val="both"/>
        <w:rPr>
          <w:color w:val="000000"/>
        </w:rPr>
      </w:pPr>
    </w:p>
    <w:p w14:paraId="3AC535C1" w14:textId="77777777" w:rsidR="003D618D" w:rsidRDefault="003D618D" w:rsidP="00867600">
      <w:pPr>
        <w:rPr>
          <w:rFonts w:eastAsiaTheme="minorHAnsi" w:cs="Arial"/>
          <w:color w:val="FF0000"/>
        </w:rPr>
      </w:pPr>
    </w:p>
    <w:p w14:paraId="3AAC10EB" w14:textId="77777777" w:rsidR="00EA1C7F" w:rsidRPr="00842E85" w:rsidRDefault="003161D2" w:rsidP="008C5371">
      <w:pPr>
        <w:rPr>
          <w:rFonts w:cs="Arial"/>
          <w:b/>
          <w:color w:val="000000"/>
          <w:u w:val="single"/>
          <w:lang w:eastAsia="en-GB"/>
        </w:rPr>
      </w:pPr>
      <w:r w:rsidRPr="00603EF7">
        <w:rPr>
          <w:rFonts w:cs="Arial"/>
          <w:b/>
          <w:color w:val="000000"/>
          <w:lang w:eastAsia="en-GB"/>
        </w:rPr>
        <w:t xml:space="preserve">5 </w:t>
      </w:r>
      <w:r>
        <w:rPr>
          <w:rFonts w:cs="Arial"/>
          <w:b/>
          <w:color w:val="000000"/>
          <w:u w:val="single"/>
          <w:lang w:eastAsia="en-GB"/>
        </w:rPr>
        <w:t>DEFINITIONS</w:t>
      </w:r>
    </w:p>
    <w:p w14:paraId="7611DF1C" w14:textId="77777777" w:rsidR="00EA1C7F" w:rsidRDefault="00EA1C7F" w:rsidP="008C5371">
      <w:pPr>
        <w:rPr>
          <w:rFonts w:cs="Arial"/>
          <w:b/>
          <w:color w:val="000000"/>
          <w:sz w:val="23"/>
          <w:szCs w:val="23"/>
          <w:lang w:eastAsia="en-GB"/>
        </w:rPr>
      </w:pPr>
    </w:p>
    <w:p w14:paraId="26A929E9" w14:textId="77777777" w:rsidR="00EA1C7F" w:rsidRPr="00A0149B" w:rsidRDefault="008C5371" w:rsidP="008C5371">
      <w:pPr>
        <w:rPr>
          <w:rFonts w:cs="Arial"/>
          <w:b/>
          <w:color w:val="000000"/>
          <w:sz w:val="23"/>
          <w:szCs w:val="23"/>
          <w:u w:val="single"/>
          <w:lang w:eastAsia="en-GB"/>
        </w:rPr>
      </w:pPr>
      <w:r w:rsidRPr="00A0149B">
        <w:rPr>
          <w:rFonts w:cs="Arial"/>
          <w:b/>
          <w:color w:val="000000"/>
          <w:sz w:val="23"/>
          <w:szCs w:val="23"/>
          <w:u w:val="single"/>
          <w:lang w:eastAsia="en-GB"/>
        </w:rPr>
        <w:t>Section 117</w:t>
      </w:r>
      <w:r w:rsidR="00A0149B">
        <w:rPr>
          <w:rFonts w:cs="Arial"/>
          <w:b/>
          <w:color w:val="000000"/>
          <w:sz w:val="23"/>
          <w:szCs w:val="23"/>
          <w:u w:val="single"/>
          <w:lang w:eastAsia="en-GB"/>
        </w:rPr>
        <w:t xml:space="preserve"> aftercare</w:t>
      </w:r>
    </w:p>
    <w:p w14:paraId="42B9A97C" w14:textId="77777777" w:rsidR="00EA1C7F" w:rsidRDefault="00EA1C7F" w:rsidP="008C5371">
      <w:pPr>
        <w:rPr>
          <w:rFonts w:cs="Arial"/>
          <w:b/>
          <w:color w:val="000000"/>
          <w:sz w:val="23"/>
          <w:szCs w:val="23"/>
          <w:lang w:eastAsia="en-GB"/>
        </w:rPr>
      </w:pPr>
    </w:p>
    <w:p w14:paraId="67A7CBB7" w14:textId="47FBBF28" w:rsidR="00075B55" w:rsidRPr="00A61F21" w:rsidRDefault="00EA1C7F" w:rsidP="00A61F21">
      <w:pPr>
        <w:autoSpaceDE w:val="0"/>
        <w:autoSpaceDN w:val="0"/>
        <w:adjustRightInd w:val="0"/>
        <w:contextualSpacing/>
        <w:jc w:val="both"/>
        <w:rPr>
          <w:rFonts w:cs="Arial"/>
          <w:sz w:val="22"/>
          <w:szCs w:val="22"/>
        </w:rPr>
      </w:pPr>
      <w:r w:rsidRPr="00EA1C7F">
        <w:rPr>
          <w:rFonts w:cs="Arial"/>
        </w:rPr>
        <w:t>Section 117 of the Mental Health Act 1983/2007 (MHA) places a statutory duty on Health Authorities via Clinical Commissioning Groups and Local Authorities to work together to provide after-care services for all persons who have been detained in hospital under a treatment section of the MHA (</w:t>
      </w:r>
      <w:r w:rsidR="003C1C79" w:rsidRPr="00EA1C7F">
        <w:rPr>
          <w:rFonts w:cs="Arial"/>
        </w:rPr>
        <w:t>i.e.,</w:t>
      </w:r>
      <w:r w:rsidRPr="00EA1C7F">
        <w:rPr>
          <w:rFonts w:cs="Arial"/>
        </w:rPr>
        <w:t xml:space="preserve"> Sections 3, 37, 47 and 48). This includes all those subject to Supervised Community Treatment Order (CTO) under the MHA. This duty is to consider the </w:t>
      </w:r>
      <w:r w:rsidR="003C1C79" w:rsidRPr="00EA1C7F">
        <w:rPr>
          <w:rFonts w:cs="Arial"/>
        </w:rPr>
        <w:t>aftercare</w:t>
      </w:r>
      <w:r w:rsidRPr="00EA1C7F">
        <w:rPr>
          <w:rFonts w:cs="Arial"/>
        </w:rPr>
        <w:t xml:space="preserve"> needs of each individual to whom Section 117 applies. Processes must be in place to show that a full consideration of needs has taken place. Where required, the identified needs have a plan in place to ensure the mental health needs are met.</w:t>
      </w:r>
      <w:r w:rsidR="00002DC4" w:rsidRPr="001378ED">
        <w:rPr>
          <w:rFonts w:eastAsiaTheme="minorHAnsi" w:cs="Arial"/>
        </w:rPr>
        <w:t xml:space="preserve"> </w:t>
      </w:r>
      <w:r w:rsidR="008B1E3E" w:rsidRPr="001378ED">
        <w:rPr>
          <w:rFonts w:eastAsiaTheme="minorHAnsi" w:cs="Arial"/>
        </w:rPr>
        <w:t xml:space="preserve"> </w:t>
      </w:r>
    </w:p>
    <w:p w14:paraId="2B3F2B3C" w14:textId="77777777" w:rsidR="00EE2B80" w:rsidRDefault="00EE2B80" w:rsidP="00BE7B97">
      <w:pPr>
        <w:rPr>
          <w:b/>
        </w:rPr>
      </w:pPr>
    </w:p>
    <w:p w14:paraId="316A6B06" w14:textId="77777777" w:rsidR="00146F93" w:rsidRDefault="00146F93" w:rsidP="00BE7B97">
      <w:r>
        <w:rPr>
          <w:b/>
        </w:rPr>
        <w:t xml:space="preserve">CCP </w:t>
      </w:r>
      <w:r w:rsidRPr="00146F93">
        <w:t>Complex Cases Panel</w:t>
      </w:r>
    </w:p>
    <w:p w14:paraId="5A9890EE" w14:textId="77777777" w:rsidR="00146F93" w:rsidRDefault="00146F93" w:rsidP="00BE7B97">
      <w:r w:rsidRPr="00146F93">
        <w:rPr>
          <w:b/>
        </w:rPr>
        <w:t>MHA</w:t>
      </w:r>
      <w:r>
        <w:t xml:space="preserve"> Mental Health Act</w:t>
      </w:r>
    </w:p>
    <w:p w14:paraId="29FCECCE" w14:textId="77777777" w:rsidR="007E5650" w:rsidRDefault="007E5650" w:rsidP="00BE7B97">
      <w:r>
        <w:rPr>
          <w:b/>
        </w:rPr>
        <w:t xml:space="preserve">SCC </w:t>
      </w:r>
      <w:r>
        <w:t>Somerset County Council</w:t>
      </w:r>
    </w:p>
    <w:p w14:paraId="6715555A" w14:textId="77777777" w:rsidR="000033F9" w:rsidRDefault="007E5650" w:rsidP="00BE7B97">
      <w:r>
        <w:rPr>
          <w:b/>
        </w:rPr>
        <w:t xml:space="preserve">CCG </w:t>
      </w:r>
      <w:r>
        <w:t>Somerset Clinical Commissioning Group</w:t>
      </w:r>
    </w:p>
    <w:p w14:paraId="38785894" w14:textId="77777777" w:rsidR="007E5650" w:rsidRDefault="000033F9" w:rsidP="00BE7B97">
      <w:r>
        <w:rPr>
          <w:b/>
        </w:rPr>
        <w:t xml:space="preserve">MDT </w:t>
      </w:r>
      <w:r>
        <w:t>Multi-disciplinary Team</w:t>
      </w:r>
      <w:r w:rsidR="007E5650">
        <w:t xml:space="preserve"> </w:t>
      </w:r>
    </w:p>
    <w:p w14:paraId="7BEAFB68" w14:textId="77777777" w:rsidR="00842E85" w:rsidRDefault="00842E85" w:rsidP="00BE7B97">
      <w:r>
        <w:rPr>
          <w:b/>
        </w:rPr>
        <w:t xml:space="preserve">QA </w:t>
      </w:r>
      <w:r>
        <w:t>Quality Assurance</w:t>
      </w:r>
    </w:p>
    <w:p w14:paraId="00BBB63A" w14:textId="5DA4DF14" w:rsidR="00CB760C" w:rsidRDefault="00CB760C" w:rsidP="00BE7B97">
      <w:r>
        <w:rPr>
          <w:b/>
        </w:rPr>
        <w:t xml:space="preserve">CQC </w:t>
      </w:r>
      <w:r>
        <w:t xml:space="preserve">Care Quality Commission </w:t>
      </w:r>
    </w:p>
    <w:p w14:paraId="0A441BD3" w14:textId="77777777" w:rsidR="00197512" w:rsidRDefault="00197512" w:rsidP="00572C42">
      <w:pPr>
        <w:pStyle w:val="Heading2"/>
      </w:pPr>
    </w:p>
    <w:p w14:paraId="71EC355B" w14:textId="77777777" w:rsidR="00197512" w:rsidRDefault="00197512" w:rsidP="00572C42">
      <w:pPr>
        <w:pStyle w:val="Heading2"/>
      </w:pPr>
    </w:p>
    <w:p w14:paraId="0DC7DDBF" w14:textId="77777777" w:rsidR="00197512" w:rsidRDefault="00197512" w:rsidP="00572C42">
      <w:pPr>
        <w:pStyle w:val="Heading2"/>
      </w:pPr>
    </w:p>
    <w:p w14:paraId="47929B43" w14:textId="77777777" w:rsidR="00572C42" w:rsidRPr="003161D2" w:rsidRDefault="003161D2" w:rsidP="00572C42">
      <w:pPr>
        <w:pStyle w:val="Heading2"/>
        <w:rPr>
          <w:u w:val="single"/>
        </w:rPr>
      </w:pPr>
      <w:r>
        <w:t xml:space="preserve">6 </w:t>
      </w:r>
      <w:r w:rsidRPr="003161D2">
        <w:rPr>
          <w:u w:val="single"/>
        </w:rPr>
        <w:t>REFERRALPROCESS TO</w:t>
      </w:r>
      <w:r w:rsidR="00B43F84" w:rsidRPr="003161D2">
        <w:rPr>
          <w:u w:val="single"/>
        </w:rPr>
        <w:t xml:space="preserve"> CCP</w:t>
      </w:r>
    </w:p>
    <w:p w14:paraId="5E5B3FFD" w14:textId="77777777" w:rsidR="00721BC6" w:rsidRPr="003161D2" w:rsidRDefault="00721BC6" w:rsidP="00721BC6">
      <w:pPr>
        <w:rPr>
          <w:u w:val="single"/>
        </w:rPr>
      </w:pPr>
    </w:p>
    <w:p w14:paraId="6DB2C744" w14:textId="77777777" w:rsidR="00572C42" w:rsidRDefault="00842E85" w:rsidP="006C28A3">
      <w:pPr>
        <w:pStyle w:val="ListParagraph"/>
        <w:numPr>
          <w:ilvl w:val="0"/>
          <w:numId w:val="5"/>
        </w:numPr>
      </w:pPr>
      <w:r>
        <w:t>C</w:t>
      </w:r>
      <w:r w:rsidR="00E65135">
        <w:t xml:space="preserve">ompleted </w:t>
      </w:r>
      <w:r w:rsidR="00572C42">
        <w:t xml:space="preserve">CCP </w:t>
      </w:r>
      <w:r w:rsidR="003161D2">
        <w:t>Funding request form (appendix C</w:t>
      </w:r>
      <w:r w:rsidR="00E102A8">
        <w:t>) should be</w:t>
      </w:r>
      <w:r w:rsidR="00572C42">
        <w:t xml:space="preserve"> sent to CCP Panel Administrator</w:t>
      </w:r>
      <w:r w:rsidR="00EA1C7F">
        <w:t xml:space="preserve">/s at </w:t>
      </w:r>
      <w:r w:rsidR="00EA1C7F" w:rsidRPr="00E65135">
        <w:rPr>
          <w:color w:val="5B9BD5" w:themeColor="accent1"/>
        </w:rPr>
        <w:t>CCPFunding@somerset.gov.uk</w:t>
      </w:r>
      <w:r w:rsidR="00572C42">
        <w:t xml:space="preserve"> by</w:t>
      </w:r>
      <w:r w:rsidR="00E65135">
        <w:t xml:space="preserve"> the</w:t>
      </w:r>
      <w:r w:rsidR="00572C42">
        <w:t xml:space="preserve"> appointed social worker and care coordinator</w:t>
      </w:r>
      <w:r>
        <w:t xml:space="preserve"> once the 117 aftercare and/or</w:t>
      </w:r>
      <w:r w:rsidR="00E65135">
        <w:t xml:space="preserve"> Care Act and Health needs assessments are completed.</w:t>
      </w:r>
      <w:r w:rsidR="004654D6">
        <w:t xml:space="preserve"> Relevant additional supporting information should be included. The views of the individual, family and relevant others</w:t>
      </w:r>
      <w:r w:rsidR="00A0149B">
        <w:t xml:space="preserve"> should be clear where possible in this</w:t>
      </w:r>
      <w:r w:rsidR="00101E11">
        <w:t xml:space="preserve"> referral</w:t>
      </w:r>
      <w:r w:rsidR="00A0149B">
        <w:t xml:space="preserve"> process.</w:t>
      </w:r>
      <w:r w:rsidR="004654D6">
        <w:t xml:space="preserve"> </w:t>
      </w:r>
    </w:p>
    <w:p w14:paraId="7E936D4A" w14:textId="77777777" w:rsidR="009262C7" w:rsidRDefault="009262C7" w:rsidP="006C28A3">
      <w:pPr>
        <w:pStyle w:val="ListParagraph"/>
        <w:numPr>
          <w:ilvl w:val="0"/>
          <w:numId w:val="5"/>
        </w:numPr>
      </w:pPr>
      <w:r>
        <w:t>The CCP fu</w:t>
      </w:r>
      <w:r w:rsidR="00842E85">
        <w:t>nding request form has</w:t>
      </w:r>
      <w:r>
        <w:t xml:space="preserve"> two sections.</w:t>
      </w:r>
    </w:p>
    <w:p w14:paraId="78D4BE2B" w14:textId="77777777" w:rsidR="009262C7" w:rsidRDefault="009262C7" w:rsidP="009262C7">
      <w:pPr>
        <w:pStyle w:val="ListParagraph"/>
      </w:pPr>
      <w:r>
        <w:t xml:space="preserve"> </w:t>
      </w:r>
    </w:p>
    <w:p w14:paraId="1490756E" w14:textId="1D871297" w:rsidR="009262C7" w:rsidRDefault="009262C7" w:rsidP="009262C7">
      <w:pPr>
        <w:pStyle w:val="ListParagraph"/>
        <w:ind w:left="1080"/>
      </w:pPr>
      <w:r w:rsidRPr="003161D2">
        <w:rPr>
          <w:u w:val="single"/>
        </w:rPr>
        <w:t>Section</w:t>
      </w:r>
      <w:r w:rsidR="00EF3E1C">
        <w:rPr>
          <w:u w:val="single"/>
        </w:rPr>
        <w:t xml:space="preserve"> A</w:t>
      </w:r>
      <w:r>
        <w:t xml:space="preserve"> Individual Details, Assessment and rationale for </w:t>
      </w:r>
      <w:r w:rsidR="007E5650">
        <w:t xml:space="preserve">exceptional </w:t>
      </w:r>
      <w:r>
        <w:t>funding request.</w:t>
      </w:r>
    </w:p>
    <w:p w14:paraId="04F5AF8B" w14:textId="03978543" w:rsidR="009262C7" w:rsidRDefault="009262C7" w:rsidP="009262C7">
      <w:pPr>
        <w:pStyle w:val="ListParagraph"/>
        <w:ind w:left="1080"/>
      </w:pPr>
      <w:r w:rsidRPr="003161D2">
        <w:rPr>
          <w:u w:val="single"/>
        </w:rPr>
        <w:t xml:space="preserve">Section </w:t>
      </w:r>
      <w:r w:rsidR="00C56271">
        <w:rPr>
          <w:u w:val="single"/>
        </w:rPr>
        <w:t>B</w:t>
      </w:r>
      <w:r>
        <w:t xml:space="preserve"> Funding outcome decision</w:t>
      </w:r>
      <w:r w:rsidR="007E5650">
        <w:t>s</w:t>
      </w:r>
      <w:r>
        <w:t xml:space="preserve"> including relevant dates and CCP review date.</w:t>
      </w:r>
    </w:p>
    <w:p w14:paraId="605C0BE9" w14:textId="77777777" w:rsidR="009262C7" w:rsidRDefault="009262C7" w:rsidP="009262C7">
      <w:pPr>
        <w:pStyle w:val="ListParagraph"/>
      </w:pPr>
    </w:p>
    <w:p w14:paraId="4641CE20" w14:textId="1806DAFD" w:rsidR="00A61F21" w:rsidRDefault="00E65135" w:rsidP="006C28A3">
      <w:pPr>
        <w:pStyle w:val="ListParagraph"/>
        <w:numPr>
          <w:ilvl w:val="0"/>
          <w:numId w:val="5"/>
        </w:numPr>
      </w:pPr>
      <w:r>
        <w:t xml:space="preserve">Both the appointed social worker and </w:t>
      </w:r>
      <w:r w:rsidR="00AD40DC">
        <w:t xml:space="preserve">key worker </w:t>
      </w:r>
      <w:r>
        <w:t>(and relevant other MDT</w:t>
      </w:r>
      <w:r w:rsidR="008E12BC">
        <w:t xml:space="preserve"> members</w:t>
      </w:r>
      <w:r>
        <w:t xml:space="preserve"> if relevant)</w:t>
      </w:r>
      <w:r w:rsidR="00A0149B">
        <w:t xml:space="preserve"> will</w:t>
      </w:r>
      <w:r>
        <w:t xml:space="preserve"> present the case to the CCP</w:t>
      </w:r>
      <w:r w:rsidR="00895F09">
        <w:t xml:space="preserve"> either in person or remotely</w:t>
      </w:r>
      <w:r w:rsidR="00A0149B">
        <w:t>.</w:t>
      </w:r>
    </w:p>
    <w:p w14:paraId="658D6B5A" w14:textId="696A015C" w:rsidR="005F42FD" w:rsidRDefault="009262C7" w:rsidP="006C28A3">
      <w:pPr>
        <w:pStyle w:val="ListParagraph"/>
        <w:numPr>
          <w:ilvl w:val="0"/>
          <w:numId w:val="5"/>
        </w:numPr>
      </w:pPr>
      <w:r>
        <w:t>The outcomes of each</w:t>
      </w:r>
      <w:r w:rsidR="006448DA">
        <w:t xml:space="preserve"> CCP</w:t>
      </w:r>
      <w:r>
        <w:t xml:space="preserve"> presentation </w:t>
      </w:r>
      <w:r w:rsidR="00C136E8">
        <w:t xml:space="preserve">will be recorded on the relevant </w:t>
      </w:r>
      <w:r w:rsidR="006448DA">
        <w:t xml:space="preserve">section of the CCP Funding request </w:t>
      </w:r>
      <w:r w:rsidR="007E5650">
        <w:t>form including any outcomes which</w:t>
      </w:r>
      <w:r w:rsidR="006448DA">
        <w:t xml:space="preserve"> are not related </w:t>
      </w:r>
      <w:r w:rsidR="00101E11">
        <w:t>directly</w:t>
      </w:r>
      <w:r w:rsidR="006448DA">
        <w:t xml:space="preserve"> to funding.</w:t>
      </w:r>
      <w:r w:rsidR="005F42FD">
        <w:t xml:space="preserve"> Both sections of the</w:t>
      </w:r>
      <w:r w:rsidR="00790AFA">
        <w:t xml:space="preserve"> CCP</w:t>
      </w:r>
      <w:r w:rsidR="00101E11">
        <w:t xml:space="preserve"> updated request form</w:t>
      </w:r>
      <w:r w:rsidR="00C136E8">
        <w:t xml:space="preserve"> from every Panel</w:t>
      </w:r>
      <w:r w:rsidR="00101E11">
        <w:t xml:space="preserve"> will </w:t>
      </w:r>
      <w:r w:rsidR="00AE70F6">
        <w:t>be uploaded to the CCP</w:t>
      </w:r>
      <w:r w:rsidR="00101E11">
        <w:t xml:space="preserve"> </w:t>
      </w:r>
      <w:r w:rsidR="00C56271">
        <w:t xml:space="preserve">SharePoint </w:t>
      </w:r>
      <w:r w:rsidR="00101E11">
        <w:t>record</w:t>
      </w:r>
      <w:r w:rsidR="00C136E8">
        <w:t>s drive under individual</w:t>
      </w:r>
      <w:r w:rsidR="00AE70F6">
        <w:t xml:space="preserve"> client name</w:t>
      </w:r>
      <w:r w:rsidR="00C136E8">
        <w:t xml:space="preserve"> to support</w:t>
      </w:r>
      <w:r w:rsidR="00790AFA">
        <w:t xml:space="preserve"> </w:t>
      </w:r>
      <w:r w:rsidR="00C136E8">
        <w:t xml:space="preserve">future </w:t>
      </w:r>
      <w:r w:rsidR="00790AFA">
        <w:t>tracking</w:t>
      </w:r>
      <w:r w:rsidR="00C136E8">
        <w:t xml:space="preserve"> of decisions</w:t>
      </w:r>
      <w:r w:rsidR="00AE70F6">
        <w:t xml:space="preserve">. </w:t>
      </w:r>
      <w:r w:rsidR="00C136E8">
        <w:t>Only section 2 of the</w:t>
      </w:r>
      <w:r w:rsidR="00AE70F6">
        <w:t xml:space="preserve"> </w:t>
      </w:r>
      <w:r w:rsidR="001C03A0">
        <w:t>CCP Funding request form is</w:t>
      </w:r>
      <w:r w:rsidR="00AE70F6">
        <w:t xml:space="preserve"> sent to</w:t>
      </w:r>
      <w:r w:rsidR="00C136E8">
        <w:t xml:space="preserve"> the Finance/</w:t>
      </w:r>
      <w:r w:rsidR="00AE70F6">
        <w:t xml:space="preserve"> Payments team via CCP Finance </w:t>
      </w:r>
      <w:r w:rsidR="00C136E8">
        <w:t xml:space="preserve">Liaison Officer once updated and </w:t>
      </w:r>
      <w:r w:rsidR="001C03A0">
        <w:t xml:space="preserve">finance </w:t>
      </w:r>
      <w:r w:rsidR="00C136E8">
        <w:t>details</w:t>
      </w:r>
      <w:r w:rsidR="001C03A0">
        <w:t xml:space="preserve"> and changes are</w:t>
      </w:r>
      <w:r w:rsidR="00C136E8">
        <w:t xml:space="preserve"> confirmed.</w:t>
      </w:r>
    </w:p>
    <w:p w14:paraId="7D5C51B4" w14:textId="77777777" w:rsidR="001C03A0" w:rsidRDefault="005F42FD" w:rsidP="006C28A3">
      <w:pPr>
        <w:pStyle w:val="ListParagraph"/>
        <w:numPr>
          <w:ilvl w:val="0"/>
          <w:numId w:val="5"/>
        </w:numPr>
      </w:pPr>
      <w:r>
        <w:t>An additional records drive folder will contain all cases that are no longer active within CCP to assist any future tracking</w:t>
      </w:r>
      <w:r w:rsidR="00A65B0A">
        <w:t xml:space="preserve"> and information that maybe required at a future date.</w:t>
      </w:r>
      <w:r w:rsidR="00101E11">
        <w:t xml:space="preserve"> </w:t>
      </w:r>
    </w:p>
    <w:p w14:paraId="59B769D0" w14:textId="3F496D48" w:rsidR="00987D83" w:rsidRDefault="001C03A0" w:rsidP="006C28A3">
      <w:pPr>
        <w:pStyle w:val="ListParagraph"/>
        <w:numPr>
          <w:ilvl w:val="0"/>
          <w:numId w:val="5"/>
        </w:numPr>
      </w:pPr>
      <w:r>
        <w:t>A CCP outlook</w:t>
      </w:r>
      <w:r w:rsidR="009208C9">
        <w:t xml:space="preserve"> diary</w:t>
      </w:r>
      <w:r>
        <w:t xml:space="preserve"> is used to diarise all CCP new and review hearings. Review hearings will be arranged and </w:t>
      </w:r>
      <w:r w:rsidR="00C56271">
        <w:t>entered</w:t>
      </w:r>
      <w:r>
        <w:t xml:space="preserve"> </w:t>
      </w:r>
      <w:r w:rsidR="00C56271">
        <w:t xml:space="preserve">into </w:t>
      </w:r>
      <w:r>
        <w:t xml:space="preserve">this diary by the Panel Administrator at the end of each hearing. All CCP cases will have a booked review date at any given time. </w:t>
      </w:r>
      <w:r w:rsidR="00E65135">
        <w:t xml:space="preserve"> </w:t>
      </w:r>
    </w:p>
    <w:p w14:paraId="6C63417A" w14:textId="77777777" w:rsidR="00572C42" w:rsidRDefault="00572C42" w:rsidP="001C03A0">
      <w:pPr>
        <w:pStyle w:val="ListParagraph"/>
      </w:pPr>
    </w:p>
    <w:p w14:paraId="36D3DB42" w14:textId="77777777" w:rsidR="00617DD7" w:rsidRDefault="00617DD7" w:rsidP="001C03A0">
      <w:pPr>
        <w:pStyle w:val="ListParagraph"/>
      </w:pPr>
    </w:p>
    <w:p w14:paraId="788F4937" w14:textId="77777777" w:rsidR="00617DD7" w:rsidRPr="003161D2" w:rsidRDefault="006C28A3" w:rsidP="00603EF7">
      <w:pPr>
        <w:pStyle w:val="Heading2"/>
        <w:numPr>
          <w:ilvl w:val="0"/>
          <w:numId w:val="14"/>
        </w:numPr>
        <w:rPr>
          <w:u w:val="single"/>
        </w:rPr>
      </w:pPr>
      <w:r>
        <w:rPr>
          <w:u w:val="single"/>
        </w:rPr>
        <w:t>DUTIES AND RESPONDSIBILITIES</w:t>
      </w:r>
    </w:p>
    <w:p w14:paraId="2BF8C5CF" w14:textId="77777777" w:rsidR="00617DD7" w:rsidRDefault="00617DD7" w:rsidP="00617DD7"/>
    <w:p w14:paraId="01C94F60" w14:textId="453D9B23" w:rsidR="00617DD7" w:rsidRDefault="006C28A3" w:rsidP="00617DD7">
      <w:pPr>
        <w:rPr>
          <w:u w:val="single"/>
        </w:rPr>
      </w:pPr>
      <w:r>
        <w:t xml:space="preserve">      </w:t>
      </w:r>
      <w:r w:rsidR="000033F9">
        <w:rPr>
          <w:u w:val="single"/>
        </w:rPr>
        <w:t>Key responsibilities</w:t>
      </w:r>
      <w:r w:rsidR="00617DD7" w:rsidRPr="0008592C">
        <w:rPr>
          <w:u w:val="single"/>
        </w:rPr>
        <w:t xml:space="preserve"> of appointed social worker and c</w:t>
      </w:r>
      <w:r w:rsidR="00C56271">
        <w:rPr>
          <w:u w:val="single"/>
        </w:rPr>
        <w:t xml:space="preserve">omplex care practitioner </w:t>
      </w:r>
    </w:p>
    <w:p w14:paraId="22F6B9B1" w14:textId="77777777" w:rsidR="00617DD7" w:rsidRPr="0008592C" w:rsidRDefault="00617DD7" w:rsidP="00617DD7">
      <w:pPr>
        <w:rPr>
          <w:u w:val="single"/>
        </w:rPr>
      </w:pPr>
    </w:p>
    <w:p w14:paraId="6E3E8E65" w14:textId="77777777" w:rsidR="00617DD7" w:rsidRDefault="009208C9" w:rsidP="006C28A3">
      <w:pPr>
        <w:pStyle w:val="ListParagraph"/>
        <w:numPr>
          <w:ilvl w:val="0"/>
          <w:numId w:val="7"/>
        </w:numPr>
      </w:pPr>
      <w:r>
        <w:t>Ensure there is j</w:t>
      </w:r>
      <w:r w:rsidR="00617DD7">
        <w:t>oint and up to date assessment on individuals mental health and social care needs (specific on 117 aftercare needs where applicable)</w:t>
      </w:r>
    </w:p>
    <w:p w14:paraId="70E9BA64" w14:textId="77777777" w:rsidR="009208C9" w:rsidRDefault="000033F9" w:rsidP="009208C9">
      <w:pPr>
        <w:pStyle w:val="ListParagraph"/>
        <w:numPr>
          <w:ilvl w:val="0"/>
          <w:numId w:val="7"/>
        </w:numPr>
      </w:pPr>
      <w:r>
        <w:t>Contribute to the appropriate discharge of section 117 aftercare with the s</w:t>
      </w:r>
      <w:r w:rsidR="009208C9">
        <w:t>upport of any wider MDT and CCP members.</w:t>
      </w:r>
    </w:p>
    <w:p w14:paraId="51A0785A" w14:textId="625872FF" w:rsidR="00617DD7" w:rsidRDefault="00617DD7" w:rsidP="006C28A3">
      <w:pPr>
        <w:pStyle w:val="ListParagraph"/>
        <w:numPr>
          <w:ilvl w:val="0"/>
          <w:numId w:val="7"/>
        </w:numPr>
      </w:pPr>
      <w:r>
        <w:t>Ap</w:t>
      </w:r>
      <w:r w:rsidR="009208C9">
        <w:t>proach, discuss with and share with providers an</w:t>
      </w:r>
      <w:r>
        <w:t xml:space="preserve"> individual</w:t>
      </w:r>
      <w:r w:rsidR="009208C9">
        <w:t>’</w:t>
      </w:r>
      <w:r>
        <w:t xml:space="preserve">s identified </w:t>
      </w:r>
      <w:r w:rsidR="00CB4E02">
        <w:t>needs</w:t>
      </w:r>
      <w:r>
        <w:t xml:space="preserve"> to generate available </w:t>
      </w:r>
      <w:r w:rsidR="000033F9">
        <w:t xml:space="preserve">care </w:t>
      </w:r>
      <w:r>
        <w:t>options</w:t>
      </w:r>
      <w:r w:rsidR="000033F9">
        <w:t xml:space="preserve"> for consideration</w:t>
      </w:r>
      <w:r>
        <w:t xml:space="preserve"> by CCP (Existing provider framework process can be used to complement this</w:t>
      </w:r>
      <w:r w:rsidR="000033F9">
        <w:t>)</w:t>
      </w:r>
      <w:r>
        <w:t>.</w:t>
      </w:r>
      <w:r w:rsidR="009208C9">
        <w:t xml:space="preserve"> Expectations of service being commissioned need to be clear.</w:t>
      </w:r>
    </w:p>
    <w:p w14:paraId="1435EF70" w14:textId="77777777" w:rsidR="00617DD7" w:rsidRDefault="00617DD7" w:rsidP="006C28A3">
      <w:pPr>
        <w:pStyle w:val="ListParagraph"/>
        <w:numPr>
          <w:ilvl w:val="0"/>
          <w:numId w:val="7"/>
        </w:numPr>
      </w:pPr>
      <w:r>
        <w:t>Advise CCP/Quality Assurance Lead of significant changes/concerns/safeguarding and possible quality concerns</w:t>
      </w:r>
      <w:r w:rsidR="000033F9">
        <w:t xml:space="preserve"> with any provision being commissioned.</w:t>
      </w:r>
    </w:p>
    <w:p w14:paraId="742F4DE3" w14:textId="5C55ED1F" w:rsidR="00617DD7" w:rsidRDefault="00617DD7" w:rsidP="006C28A3">
      <w:pPr>
        <w:pStyle w:val="ListParagraph"/>
        <w:numPr>
          <w:ilvl w:val="0"/>
          <w:numId w:val="7"/>
        </w:numPr>
      </w:pPr>
      <w:r>
        <w:t xml:space="preserve">Regular meetings with chosen provider over and above core </w:t>
      </w:r>
      <w:r w:rsidR="005358DB">
        <w:t xml:space="preserve">assessment and review </w:t>
      </w:r>
      <w:r>
        <w:t>processes to moni</w:t>
      </w:r>
      <w:r w:rsidR="00DF1855">
        <w:t>tor progress with</w:t>
      </w:r>
      <w:r w:rsidR="000033F9">
        <w:t xml:space="preserve"> agreed outcomes to ensure services are of an acceptable quality and value for money.</w:t>
      </w:r>
    </w:p>
    <w:p w14:paraId="55CBF221" w14:textId="77777777" w:rsidR="00617DD7" w:rsidRDefault="009208C9" w:rsidP="006C28A3">
      <w:pPr>
        <w:pStyle w:val="ListParagraph"/>
        <w:numPr>
          <w:ilvl w:val="0"/>
          <w:numId w:val="7"/>
        </w:numPr>
      </w:pPr>
      <w:r>
        <w:t>Link into current and proposed</w:t>
      </w:r>
      <w:r w:rsidR="00DF1855">
        <w:t xml:space="preserve"> CCP</w:t>
      </w:r>
      <w:r w:rsidR="00617DD7">
        <w:t xml:space="preserve"> Quality Assurance process</w:t>
      </w:r>
      <w:r w:rsidR="00DF1855">
        <w:t xml:space="preserve"> as required.</w:t>
      </w:r>
    </w:p>
    <w:p w14:paraId="0C14AECA" w14:textId="77777777" w:rsidR="00617DD7" w:rsidRDefault="00617DD7" w:rsidP="006C28A3">
      <w:pPr>
        <w:pStyle w:val="ListParagraph"/>
        <w:numPr>
          <w:ilvl w:val="0"/>
          <w:numId w:val="7"/>
        </w:numPr>
      </w:pPr>
      <w:r>
        <w:t>Work</w:t>
      </w:r>
      <w:r w:rsidR="00DF1855">
        <w:t xml:space="preserve"> closely with CCP members who will</w:t>
      </w:r>
      <w:r>
        <w:t xml:space="preserve"> provide</w:t>
      </w:r>
      <w:r w:rsidR="00DF1855">
        <w:t xml:space="preserve"> additional support to scrutinise,</w:t>
      </w:r>
      <w:r>
        <w:t xml:space="preserve"> provide</w:t>
      </w:r>
      <w:r w:rsidR="00DF1855">
        <w:t xml:space="preserve"> measured</w:t>
      </w:r>
      <w:r>
        <w:t xml:space="preserve"> challenge</w:t>
      </w:r>
      <w:r w:rsidR="00DF1855">
        <w:t xml:space="preserve"> and develop collaborative working with providers. </w:t>
      </w:r>
      <w:r>
        <w:t xml:space="preserve"> </w:t>
      </w:r>
    </w:p>
    <w:p w14:paraId="108223D9" w14:textId="702AAA52" w:rsidR="00617DD7" w:rsidRDefault="00DF1855" w:rsidP="006C28A3">
      <w:pPr>
        <w:pStyle w:val="ListParagraph"/>
        <w:numPr>
          <w:ilvl w:val="0"/>
          <w:numId w:val="7"/>
        </w:numPr>
      </w:pPr>
      <w:r>
        <w:t xml:space="preserve">Contribute </w:t>
      </w:r>
      <w:r w:rsidR="005358DB">
        <w:t>to</w:t>
      </w:r>
      <w:r>
        <w:t xml:space="preserve"> providing a</w:t>
      </w:r>
      <w:r w:rsidR="00617DD7">
        <w:t>ssurance</w:t>
      </w:r>
      <w:r>
        <w:t xml:space="preserve"> over section</w:t>
      </w:r>
      <w:r w:rsidR="00617DD7">
        <w:t xml:space="preserve"> 117</w:t>
      </w:r>
      <w:r>
        <w:t xml:space="preserve"> aftercare</w:t>
      </w:r>
      <w:r w:rsidR="00617DD7">
        <w:t xml:space="preserve"> and</w:t>
      </w:r>
      <w:r w:rsidR="009208C9">
        <w:t xml:space="preserve"> ensure</w:t>
      </w:r>
      <w:r w:rsidR="00617DD7">
        <w:t xml:space="preserve"> review process is robust and no open to challenge</w:t>
      </w:r>
      <w:r w:rsidR="009208C9">
        <w:t xml:space="preserve"> with the support of the wider MDT and CCP.</w:t>
      </w:r>
    </w:p>
    <w:p w14:paraId="6BA5F29A" w14:textId="77777777" w:rsidR="00617DD7" w:rsidRDefault="00617DD7" w:rsidP="006C28A3">
      <w:pPr>
        <w:pStyle w:val="ListParagraph"/>
        <w:numPr>
          <w:ilvl w:val="0"/>
          <w:numId w:val="7"/>
        </w:numPr>
      </w:pPr>
      <w:r>
        <w:t xml:space="preserve">Ensure all </w:t>
      </w:r>
      <w:r w:rsidR="00DF1855">
        <w:t xml:space="preserve">care/ service </w:t>
      </w:r>
      <w:r>
        <w:t>options ou</w:t>
      </w:r>
      <w:r w:rsidR="00DF1855">
        <w:t>tside of CCP have been explored to ensure request for funding is exceptional in nature.</w:t>
      </w:r>
    </w:p>
    <w:p w14:paraId="5858F5AE" w14:textId="1C5678C8" w:rsidR="00617DD7" w:rsidRDefault="00617DD7" w:rsidP="006C28A3">
      <w:pPr>
        <w:pStyle w:val="ListParagraph"/>
        <w:numPr>
          <w:ilvl w:val="0"/>
          <w:numId w:val="7"/>
        </w:numPr>
      </w:pPr>
      <w:r>
        <w:t>Ensure family, individuals and significant others are actively involved in decisions relating to their care and support.</w:t>
      </w:r>
    </w:p>
    <w:p w14:paraId="3C6464CD" w14:textId="7A72F963" w:rsidR="009526E3" w:rsidRPr="00255289" w:rsidRDefault="009526E3" w:rsidP="005358DB">
      <w:pPr>
        <w:ind w:left="360"/>
      </w:pPr>
    </w:p>
    <w:p w14:paraId="67D5F83D" w14:textId="77777777" w:rsidR="00617DD7" w:rsidRDefault="00617DD7" w:rsidP="001C03A0">
      <w:pPr>
        <w:pStyle w:val="ListParagraph"/>
      </w:pPr>
    </w:p>
    <w:p w14:paraId="16A128CF" w14:textId="77777777" w:rsidR="004654D6" w:rsidRPr="006C28A3" w:rsidRDefault="006C28A3" w:rsidP="004654D6">
      <w:pPr>
        <w:rPr>
          <w:u w:val="single"/>
        </w:rPr>
      </w:pPr>
      <w:r>
        <w:t xml:space="preserve">     </w:t>
      </w:r>
      <w:r w:rsidR="004654D6" w:rsidRPr="006C28A3">
        <w:rPr>
          <w:u w:val="single"/>
        </w:rPr>
        <w:t xml:space="preserve">CCP </w:t>
      </w:r>
      <w:r w:rsidR="001C03A0" w:rsidRPr="006C28A3">
        <w:rPr>
          <w:u w:val="single"/>
        </w:rPr>
        <w:t>Panel Administrator</w:t>
      </w:r>
      <w:r w:rsidR="00DB1E98" w:rsidRPr="006C28A3">
        <w:rPr>
          <w:u w:val="single"/>
        </w:rPr>
        <w:t xml:space="preserve"> k</w:t>
      </w:r>
      <w:r w:rsidR="001C03A0" w:rsidRPr="006C28A3">
        <w:rPr>
          <w:u w:val="single"/>
        </w:rPr>
        <w:t xml:space="preserve">ey responsibilities </w:t>
      </w:r>
    </w:p>
    <w:p w14:paraId="3FA74F36" w14:textId="77777777" w:rsidR="000E7A70" w:rsidRDefault="000E7A70" w:rsidP="004654D6"/>
    <w:p w14:paraId="1096A56F" w14:textId="77777777" w:rsidR="000E7A70" w:rsidRDefault="000E7A70" w:rsidP="006C28A3">
      <w:pPr>
        <w:pStyle w:val="ListParagraph"/>
        <w:numPr>
          <w:ilvl w:val="0"/>
          <w:numId w:val="10"/>
        </w:numPr>
      </w:pPr>
      <w:r>
        <w:t xml:space="preserve">Create and arrange CCP agendas. </w:t>
      </w:r>
    </w:p>
    <w:p w14:paraId="7E554C7E" w14:textId="4D599C3C" w:rsidR="000E7A70" w:rsidRDefault="000E7A70" w:rsidP="006C28A3">
      <w:pPr>
        <w:pStyle w:val="ListParagraph"/>
        <w:numPr>
          <w:ilvl w:val="0"/>
          <w:numId w:val="10"/>
        </w:numPr>
      </w:pPr>
      <w:r>
        <w:t xml:space="preserve">Arrange/invite social worker and care </w:t>
      </w:r>
      <w:r w:rsidR="002F1D8E">
        <w:t>coordinator/ key</w:t>
      </w:r>
      <w:r w:rsidR="009526E3">
        <w:t xml:space="preserve"> workers</w:t>
      </w:r>
      <w:r>
        <w:t xml:space="preserve"> to CCP hearing slot via teams.</w:t>
      </w:r>
    </w:p>
    <w:p w14:paraId="29646E51" w14:textId="77777777" w:rsidR="000E7A70" w:rsidRDefault="001C03A0" w:rsidP="006C28A3">
      <w:pPr>
        <w:pStyle w:val="ListParagraph"/>
        <w:numPr>
          <w:ilvl w:val="0"/>
          <w:numId w:val="10"/>
        </w:numPr>
      </w:pPr>
      <w:r>
        <w:t>Create and keep</w:t>
      </w:r>
      <w:r w:rsidR="000E7A70">
        <w:t xml:space="preserve"> CCP outlook diary</w:t>
      </w:r>
      <w:r>
        <w:t xml:space="preserve"> up to date</w:t>
      </w:r>
      <w:r w:rsidR="000E7A70">
        <w:t xml:space="preserve"> to ensure all</w:t>
      </w:r>
      <w:r>
        <w:t xml:space="preserve"> cases</w:t>
      </w:r>
      <w:r w:rsidR="000E7A70">
        <w:t xml:space="preserve"> have review dates</w:t>
      </w:r>
      <w:r>
        <w:t>.</w:t>
      </w:r>
    </w:p>
    <w:p w14:paraId="0CE8ECAD" w14:textId="7D5BA9B3" w:rsidR="000E7A70" w:rsidRDefault="001C03A0" w:rsidP="006C28A3">
      <w:pPr>
        <w:pStyle w:val="ListParagraph"/>
        <w:numPr>
          <w:ilvl w:val="0"/>
          <w:numId w:val="10"/>
        </w:numPr>
      </w:pPr>
      <w:r>
        <w:t>Ensure</w:t>
      </w:r>
      <w:r w:rsidR="000E7A70">
        <w:t xml:space="preserve"> CCP members</w:t>
      </w:r>
      <w:r>
        <w:t xml:space="preserve"> are forwarded completed CCP</w:t>
      </w:r>
      <w:r w:rsidR="000E7A70">
        <w:t xml:space="preserve"> funding request</w:t>
      </w:r>
      <w:r w:rsidR="00DB1E98">
        <w:t xml:space="preserve"> form</w:t>
      </w:r>
      <w:r w:rsidR="000E7A70">
        <w:t xml:space="preserve"> and any other re</w:t>
      </w:r>
      <w:r w:rsidR="00DB1E98">
        <w:t>levant assessment documents 48hours before CCP</w:t>
      </w:r>
      <w:r w:rsidR="002F1D8E">
        <w:t xml:space="preserve"> </w:t>
      </w:r>
      <w:r w:rsidR="009526E3">
        <w:t>hearing/panel</w:t>
      </w:r>
      <w:r w:rsidR="00DB1E98">
        <w:t>.</w:t>
      </w:r>
    </w:p>
    <w:p w14:paraId="5ECC54C1" w14:textId="77777777" w:rsidR="000E7A70" w:rsidRDefault="006A260C" w:rsidP="006C28A3">
      <w:pPr>
        <w:pStyle w:val="ListParagraph"/>
        <w:numPr>
          <w:ilvl w:val="0"/>
          <w:numId w:val="10"/>
        </w:numPr>
      </w:pPr>
      <w:r>
        <w:t>Attend CCP and e</w:t>
      </w:r>
      <w:r w:rsidR="000E7A70">
        <w:t xml:space="preserve">nsure </w:t>
      </w:r>
      <w:r>
        <w:t>CCP funding request form</w:t>
      </w:r>
      <w:r w:rsidR="000E7A70">
        <w:t xml:space="preserve"> section</w:t>
      </w:r>
      <w:r w:rsidR="001C03A0">
        <w:t xml:space="preserve"> 1 (non-finance)</w:t>
      </w:r>
      <w:r w:rsidR="00DB1E98">
        <w:t xml:space="preserve"> is updated during Panel with</w:t>
      </w:r>
      <w:r>
        <w:t xml:space="preserve"> outcomes as per direction of Chair.</w:t>
      </w:r>
    </w:p>
    <w:p w14:paraId="5FDC5AE2" w14:textId="77777777" w:rsidR="000E7A70" w:rsidRDefault="000E7A70" w:rsidP="006C28A3">
      <w:pPr>
        <w:pStyle w:val="ListParagraph"/>
        <w:numPr>
          <w:ilvl w:val="0"/>
          <w:numId w:val="10"/>
        </w:numPr>
      </w:pPr>
      <w:r>
        <w:t>Book next CCP review date into outlook diary at end of each CCP hearing.</w:t>
      </w:r>
    </w:p>
    <w:p w14:paraId="23978A16" w14:textId="77777777" w:rsidR="00DB1E98" w:rsidRDefault="00DB1E98" w:rsidP="006C28A3">
      <w:pPr>
        <w:pStyle w:val="ListParagraph"/>
        <w:numPr>
          <w:ilvl w:val="0"/>
          <w:numId w:val="10"/>
        </w:numPr>
      </w:pPr>
      <w:r>
        <w:t>Arrange CCP Business Meetings and take minutes.</w:t>
      </w:r>
    </w:p>
    <w:p w14:paraId="07993CBF" w14:textId="77777777" w:rsidR="00DB1E98" w:rsidRDefault="00DB1E98" w:rsidP="006C28A3">
      <w:pPr>
        <w:pStyle w:val="ListParagraph"/>
        <w:numPr>
          <w:ilvl w:val="0"/>
          <w:numId w:val="10"/>
        </w:numPr>
      </w:pPr>
      <w:r>
        <w:t>Arrange Administration cover for planned absence</w:t>
      </w:r>
    </w:p>
    <w:p w14:paraId="1CBC1B32" w14:textId="77777777" w:rsidR="008E12BC" w:rsidRDefault="008E12BC" w:rsidP="008E12BC"/>
    <w:p w14:paraId="776BFC4A" w14:textId="77777777" w:rsidR="006A260C" w:rsidRPr="006C28A3" w:rsidRDefault="006C28A3" w:rsidP="008E12BC">
      <w:pPr>
        <w:rPr>
          <w:u w:val="single"/>
        </w:rPr>
      </w:pPr>
      <w:r>
        <w:t xml:space="preserve">      </w:t>
      </w:r>
      <w:r w:rsidR="008E12BC" w:rsidRPr="006C28A3">
        <w:rPr>
          <w:u w:val="single"/>
        </w:rPr>
        <w:t>Finance</w:t>
      </w:r>
      <w:r w:rsidR="006A260C" w:rsidRPr="006C28A3">
        <w:rPr>
          <w:u w:val="single"/>
        </w:rPr>
        <w:t xml:space="preserve"> Liaison Officer Key responsibilities.</w:t>
      </w:r>
    </w:p>
    <w:p w14:paraId="04BAACC1" w14:textId="77777777" w:rsidR="00AE70F6" w:rsidRDefault="00AE70F6" w:rsidP="006A260C"/>
    <w:p w14:paraId="088223FC" w14:textId="77777777" w:rsidR="006A260C" w:rsidRDefault="006A260C" w:rsidP="006C28A3">
      <w:pPr>
        <w:pStyle w:val="ListParagraph"/>
        <w:numPr>
          <w:ilvl w:val="0"/>
          <w:numId w:val="12"/>
        </w:numPr>
      </w:pPr>
      <w:r>
        <w:t>Attend all CCP hearings.</w:t>
      </w:r>
    </w:p>
    <w:p w14:paraId="03AB330C" w14:textId="77777777" w:rsidR="00AE70F6" w:rsidRDefault="006A260C" w:rsidP="006C28A3">
      <w:pPr>
        <w:pStyle w:val="ListParagraph"/>
        <w:numPr>
          <w:ilvl w:val="0"/>
          <w:numId w:val="11"/>
        </w:numPr>
      </w:pPr>
      <w:r>
        <w:t>Populate Section 2 of</w:t>
      </w:r>
      <w:r w:rsidR="00AE70F6">
        <w:t xml:space="preserve"> CCP outcome form</w:t>
      </w:r>
      <w:r>
        <w:t xml:space="preserve"> (Finance) and forward to relevant </w:t>
      </w:r>
      <w:r w:rsidR="003D618D">
        <w:t>payments team for payment to</w:t>
      </w:r>
      <w:r w:rsidR="00871F85">
        <w:t xml:space="preserve"> identified provider.</w:t>
      </w:r>
    </w:p>
    <w:p w14:paraId="59D2052F" w14:textId="77777777" w:rsidR="00AE70F6" w:rsidRDefault="003D618D" w:rsidP="006C28A3">
      <w:pPr>
        <w:pStyle w:val="ListParagraph"/>
        <w:numPr>
          <w:ilvl w:val="0"/>
          <w:numId w:val="11"/>
        </w:numPr>
      </w:pPr>
      <w:r>
        <w:t>Provide finance support to CCP over pooled CCP budget.</w:t>
      </w:r>
      <w:r w:rsidR="00AE70F6">
        <w:t xml:space="preserve"> </w:t>
      </w:r>
    </w:p>
    <w:p w14:paraId="691DD442" w14:textId="77777777" w:rsidR="00AE70F6" w:rsidRDefault="003D618D" w:rsidP="006C28A3">
      <w:pPr>
        <w:pStyle w:val="ListParagraph"/>
        <w:numPr>
          <w:ilvl w:val="0"/>
          <w:numId w:val="11"/>
        </w:numPr>
      </w:pPr>
      <w:r>
        <w:t>Provide m</w:t>
      </w:r>
      <w:r w:rsidR="00AE70F6">
        <w:t>onthly CCP Budget report</w:t>
      </w:r>
      <w:r>
        <w:t>s</w:t>
      </w:r>
      <w:r w:rsidR="009208C9">
        <w:t xml:space="preserve"> which will provide</w:t>
      </w:r>
      <w:r w:rsidR="00617DD7">
        <w:t xml:space="preserve"> up to date </w:t>
      </w:r>
      <w:r w:rsidR="009208C9">
        <w:t>projected spend,</w:t>
      </w:r>
      <w:r w:rsidR="00AE70F6">
        <w:t xml:space="preserve"> hi</w:t>
      </w:r>
      <w:r w:rsidR="00617DD7">
        <w:t>ghlighting</w:t>
      </w:r>
      <w:r w:rsidR="009208C9">
        <w:t xml:space="preserve"> monthly cost movements and</w:t>
      </w:r>
      <w:r>
        <w:t xml:space="preserve"> identifies </w:t>
      </w:r>
      <w:r w:rsidR="00617DD7">
        <w:t xml:space="preserve">individual </w:t>
      </w:r>
      <w:r>
        <w:t>cost to health and social care.</w:t>
      </w:r>
    </w:p>
    <w:p w14:paraId="3864CF4E" w14:textId="77777777" w:rsidR="00605F42" w:rsidRDefault="00605F42" w:rsidP="006C28A3">
      <w:pPr>
        <w:pStyle w:val="ListParagraph"/>
        <w:numPr>
          <w:ilvl w:val="0"/>
          <w:numId w:val="11"/>
        </w:numPr>
      </w:pPr>
      <w:r>
        <w:t>Contribute to review of current contracting mechanism, new commissioning and contract initiatives with providers.</w:t>
      </w:r>
    </w:p>
    <w:p w14:paraId="0E71A953" w14:textId="77777777" w:rsidR="009208C9" w:rsidRDefault="009208C9" w:rsidP="006C28A3">
      <w:pPr>
        <w:pStyle w:val="ListParagraph"/>
        <w:numPr>
          <w:ilvl w:val="0"/>
          <w:numId w:val="11"/>
        </w:numPr>
      </w:pPr>
      <w:r>
        <w:t>Checking invoices against approved finance commitment from CCP.</w:t>
      </w:r>
    </w:p>
    <w:p w14:paraId="39797B4B" w14:textId="77777777" w:rsidR="006C28A3" w:rsidRDefault="006C28A3" w:rsidP="006C28A3"/>
    <w:p w14:paraId="047BB12F" w14:textId="77777777" w:rsidR="00652EC7" w:rsidRDefault="00652EC7" w:rsidP="006C28A3"/>
    <w:p w14:paraId="18490FC0" w14:textId="77777777" w:rsidR="00197512" w:rsidRDefault="00197512" w:rsidP="006C28A3">
      <w:pPr>
        <w:rPr>
          <w:b/>
        </w:rPr>
      </w:pPr>
    </w:p>
    <w:p w14:paraId="45EDEAA7" w14:textId="77777777" w:rsidR="00197512" w:rsidRDefault="00197512" w:rsidP="006C28A3">
      <w:pPr>
        <w:rPr>
          <w:b/>
        </w:rPr>
      </w:pPr>
    </w:p>
    <w:p w14:paraId="534FE175" w14:textId="77777777" w:rsidR="004C2BB7" w:rsidRDefault="00603EF7" w:rsidP="006C28A3">
      <w:pPr>
        <w:rPr>
          <w:b/>
          <w:u w:val="single"/>
        </w:rPr>
      </w:pPr>
      <w:r w:rsidRPr="00603EF7">
        <w:rPr>
          <w:b/>
        </w:rPr>
        <w:t xml:space="preserve">8 </w:t>
      </w:r>
      <w:r w:rsidR="006C28A3" w:rsidRPr="004C2BB7">
        <w:rPr>
          <w:b/>
          <w:u w:val="single"/>
        </w:rPr>
        <w:t>QUALITY ASSURANCE</w:t>
      </w:r>
      <w:r w:rsidR="004C2BB7" w:rsidRPr="004C2BB7">
        <w:rPr>
          <w:b/>
          <w:u w:val="single"/>
        </w:rPr>
        <w:t xml:space="preserve"> PROCESS-COMMISIONED CARE</w:t>
      </w:r>
    </w:p>
    <w:p w14:paraId="3A8928B6" w14:textId="77777777" w:rsidR="004C2BB7" w:rsidRDefault="004C2BB7" w:rsidP="006C28A3">
      <w:pPr>
        <w:rPr>
          <w:b/>
          <w:u w:val="single"/>
        </w:rPr>
      </w:pPr>
    </w:p>
    <w:p w14:paraId="3AEB947A" w14:textId="77777777" w:rsidR="004C2BB7" w:rsidRDefault="004C2BB7" w:rsidP="006C28A3">
      <w:r>
        <w:t>A number of separate quality assurance processes are currently in pl</w:t>
      </w:r>
      <w:r w:rsidR="00DB0031">
        <w:t>ace across the CCG, SCC and SFT in terms of assessing and monitoring the quality of providers.</w:t>
      </w:r>
      <w:r>
        <w:t xml:space="preserve"> It is the intention to create a single collaborative assessment and review process from a combination of the QA processes currently in use.</w:t>
      </w:r>
    </w:p>
    <w:p w14:paraId="7AABD54C" w14:textId="01CB8F54" w:rsidR="006C28A3" w:rsidRPr="004C2BB7" w:rsidRDefault="004C2BB7" w:rsidP="006C28A3">
      <w:pPr>
        <w:rPr>
          <w:b/>
          <w:u w:val="single"/>
        </w:rPr>
      </w:pPr>
      <w:r>
        <w:t xml:space="preserve">A QA lead for CCP will be created from existing resources to undertake and oversee this process. This SOP will </w:t>
      </w:r>
      <w:r w:rsidR="00E01D46">
        <w:t>be updated accordingly</w:t>
      </w:r>
      <w:r>
        <w:t xml:space="preserve"> as these changes are made.</w:t>
      </w:r>
      <w:r w:rsidR="00197512">
        <w:t xml:space="preserve"> Existing QA processes across the CCG, SCC and SFT will be used until a new single process is in place. </w:t>
      </w:r>
      <w:r>
        <w:t xml:space="preserve"> </w:t>
      </w:r>
      <w:r w:rsidR="006C28A3" w:rsidRPr="004C2BB7">
        <w:rPr>
          <w:b/>
          <w:u w:val="single"/>
        </w:rPr>
        <w:t xml:space="preserve"> </w:t>
      </w:r>
    </w:p>
    <w:p w14:paraId="2D22C1AB" w14:textId="77777777" w:rsidR="008E12BC" w:rsidRDefault="008E12BC" w:rsidP="008E12BC"/>
    <w:p w14:paraId="296C76BE" w14:textId="77777777" w:rsidR="008E12BC" w:rsidRPr="006C28A3" w:rsidRDefault="008E12BC" w:rsidP="008E12BC">
      <w:pPr>
        <w:rPr>
          <w:u w:val="single"/>
        </w:rPr>
      </w:pPr>
      <w:r w:rsidRPr="006C28A3">
        <w:rPr>
          <w:u w:val="single"/>
        </w:rPr>
        <w:t>Legal Support</w:t>
      </w:r>
      <w:r w:rsidR="00605F42" w:rsidRPr="006C28A3">
        <w:rPr>
          <w:u w:val="single"/>
        </w:rPr>
        <w:t>/Challenge of other commissioning bodies</w:t>
      </w:r>
    </w:p>
    <w:p w14:paraId="411424A6" w14:textId="77777777" w:rsidR="008E12BC" w:rsidRDefault="008E12BC" w:rsidP="008E12BC"/>
    <w:p w14:paraId="3CCED50A" w14:textId="77777777" w:rsidR="008E12BC" w:rsidRDefault="00605F42" w:rsidP="008E12BC">
      <w:r>
        <w:t>Although recognising the recent re introduction of an arbitration process within national commissioning guidance, the CCP may still need to seek legal advice on</w:t>
      </w:r>
      <w:r w:rsidR="004B7D2C">
        <w:t xml:space="preserve"> </w:t>
      </w:r>
      <w:r>
        <w:t xml:space="preserve">rare occasions in resolving disputes over commissioning responsibility with other areas such as </w:t>
      </w:r>
    </w:p>
    <w:p w14:paraId="65CFA737" w14:textId="77777777" w:rsidR="008E12BC" w:rsidRDefault="008E12BC" w:rsidP="008E12BC"/>
    <w:p w14:paraId="6A4EC6DD" w14:textId="77777777" w:rsidR="008E12BC" w:rsidRDefault="008E12BC" w:rsidP="006C28A3">
      <w:pPr>
        <w:pStyle w:val="ListParagraph"/>
        <w:numPr>
          <w:ilvl w:val="0"/>
          <w:numId w:val="9"/>
        </w:numPr>
      </w:pPr>
      <w:r>
        <w:t>117 aftercare commissioning responsibility</w:t>
      </w:r>
      <w:r w:rsidR="00A0149B">
        <w:t>.</w:t>
      </w:r>
    </w:p>
    <w:p w14:paraId="6B2FFCFA" w14:textId="77777777" w:rsidR="009208C9" w:rsidRDefault="008E12BC" w:rsidP="006C28A3">
      <w:pPr>
        <w:pStyle w:val="ListParagraph"/>
        <w:numPr>
          <w:ilvl w:val="0"/>
          <w:numId w:val="9"/>
        </w:numPr>
      </w:pPr>
      <w:r>
        <w:t>Matters relating mental capacity</w:t>
      </w:r>
      <w:r w:rsidR="00016B7A">
        <w:t xml:space="preserve">, discharge and statutory </w:t>
      </w:r>
      <w:r w:rsidR="004B7D2C">
        <w:t>responsibility</w:t>
      </w:r>
      <w:r w:rsidR="00016B7A">
        <w:t>.</w:t>
      </w:r>
    </w:p>
    <w:p w14:paraId="2B08E3DB" w14:textId="77777777" w:rsidR="009208C9" w:rsidRDefault="009208C9" w:rsidP="009208C9"/>
    <w:p w14:paraId="0F1A04BB" w14:textId="03D81C6C" w:rsidR="008E12BC" w:rsidRDefault="009208C9" w:rsidP="009208C9">
      <w:r>
        <w:t>Depending on the legal advice being sought, legal advice might be required from either SCC legal services</w:t>
      </w:r>
      <w:r w:rsidR="009526E3">
        <w:t xml:space="preserve"> or</w:t>
      </w:r>
      <w:r>
        <w:t xml:space="preserve"> Bevan Brittan</w:t>
      </w:r>
      <w:r w:rsidR="009526E3">
        <w:t xml:space="preserve"> health solicitors </w:t>
      </w:r>
      <w:r w:rsidR="008E12BC">
        <w:t xml:space="preserve">   </w:t>
      </w:r>
    </w:p>
    <w:p w14:paraId="743427F0" w14:textId="77777777" w:rsidR="00A65B0A" w:rsidRDefault="00A65B0A" w:rsidP="00603EF7">
      <w:pPr>
        <w:pStyle w:val="BodyTextIndent2"/>
        <w:spacing w:after="0" w:line="240" w:lineRule="auto"/>
        <w:ind w:left="0"/>
        <w:jc w:val="both"/>
        <w:rPr>
          <w:b/>
          <w:color w:val="000000"/>
        </w:rPr>
      </w:pPr>
    </w:p>
    <w:p w14:paraId="0FED1043" w14:textId="77777777" w:rsidR="00652EC7" w:rsidRDefault="00652EC7" w:rsidP="00603EF7">
      <w:pPr>
        <w:pStyle w:val="BodyTextIndent2"/>
        <w:spacing w:after="0" w:line="240" w:lineRule="auto"/>
        <w:ind w:left="0"/>
        <w:jc w:val="both"/>
        <w:rPr>
          <w:b/>
          <w:color w:val="000000"/>
        </w:rPr>
      </w:pPr>
    </w:p>
    <w:p w14:paraId="14958760" w14:textId="77777777" w:rsidR="0028188F" w:rsidRPr="00A65B0A" w:rsidRDefault="00603EF7" w:rsidP="00603EF7">
      <w:pPr>
        <w:pStyle w:val="BodyTextIndent2"/>
        <w:spacing w:after="0" w:line="240" w:lineRule="auto"/>
        <w:ind w:left="0"/>
        <w:jc w:val="both"/>
        <w:rPr>
          <w:b/>
          <w:color w:val="000000"/>
        </w:rPr>
      </w:pPr>
      <w:r w:rsidRPr="00603EF7">
        <w:rPr>
          <w:b/>
          <w:color w:val="000000"/>
        </w:rPr>
        <w:t xml:space="preserve">9 </w:t>
      </w:r>
      <w:r w:rsidR="00A40E51" w:rsidRPr="00603EF7">
        <w:rPr>
          <w:b/>
          <w:u w:val="single"/>
        </w:rPr>
        <w:t>MONITORING COMPLIANCE AND EFFECTIVENESS</w:t>
      </w:r>
    </w:p>
    <w:p w14:paraId="477727B8" w14:textId="77777777" w:rsidR="00EE2B80" w:rsidRPr="00EE2B80" w:rsidRDefault="00EE2B80" w:rsidP="00EE2B80"/>
    <w:p w14:paraId="413BA060" w14:textId="77777777" w:rsidR="0046648F" w:rsidRDefault="0046648F" w:rsidP="00EE2B80">
      <w:r>
        <w:t xml:space="preserve">The following </w:t>
      </w:r>
      <w:r w:rsidR="00BD4369">
        <w:t xml:space="preserve">areas and </w:t>
      </w:r>
      <w:r>
        <w:t>processes will be used to monitor progress against agreed practice and finance outcomes and standards. These processes will monitor a range of core standards and additional standards as required under the following two headings:</w:t>
      </w:r>
    </w:p>
    <w:p w14:paraId="2784573F" w14:textId="77777777" w:rsidR="0046648F" w:rsidRDefault="0046648F" w:rsidP="00EE2B80"/>
    <w:p w14:paraId="1B13D398" w14:textId="77777777" w:rsidR="0046648F" w:rsidRDefault="0046648F" w:rsidP="00EE2B80">
      <w:pPr>
        <w:rPr>
          <w:u w:val="single"/>
        </w:rPr>
      </w:pPr>
      <w:r w:rsidRPr="0046648F">
        <w:rPr>
          <w:u w:val="single"/>
        </w:rPr>
        <w:t>CCP Practice Standards</w:t>
      </w:r>
    </w:p>
    <w:p w14:paraId="62A9418A" w14:textId="77777777" w:rsidR="0046648F" w:rsidRDefault="0046648F" w:rsidP="00EE2B80">
      <w:pPr>
        <w:rPr>
          <w:u w:val="single"/>
        </w:rPr>
      </w:pPr>
    </w:p>
    <w:p w14:paraId="12442460" w14:textId="77777777" w:rsidR="0046648F" w:rsidRDefault="0046648F" w:rsidP="00EE2B80">
      <w:r>
        <w:t>Areas to be monitored</w:t>
      </w:r>
    </w:p>
    <w:p w14:paraId="5B34372A" w14:textId="77777777" w:rsidR="006E57AF" w:rsidRDefault="006E57AF" w:rsidP="00EE2B80"/>
    <w:p w14:paraId="7D351A40" w14:textId="77777777" w:rsidR="0046648F" w:rsidRDefault="0046648F" w:rsidP="0046648F">
      <w:pPr>
        <w:pStyle w:val="ListParagraph"/>
        <w:numPr>
          <w:ilvl w:val="0"/>
          <w:numId w:val="15"/>
        </w:numPr>
      </w:pPr>
      <w:r>
        <w:t xml:space="preserve">Needs are assessed and reviewed </w:t>
      </w:r>
      <w:r w:rsidR="006E57AF">
        <w:t>from a joint health and social care approach.</w:t>
      </w:r>
    </w:p>
    <w:p w14:paraId="793CFAD7" w14:textId="77777777" w:rsidR="006E57AF" w:rsidRDefault="006E57AF" w:rsidP="0046648F">
      <w:pPr>
        <w:pStyle w:val="ListParagraph"/>
        <w:numPr>
          <w:ilvl w:val="0"/>
          <w:numId w:val="15"/>
        </w:numPr>
      </w:pPr>
      <w:r>
        <w:t>All CCP casework is reviewed every six months as a minimum</w:t>
      </w:r>
    </w:p>
    <w:p w14:paraId="336FF208" w14:textId="77777777" w:rsidR="006E57AF" w:rsidRDefault="006E57AF" w:rsidP="0046648F">
      <w:pPr>
        <w:pStyle w:val="ListParagraph"/>
        <w:numPr>
          <w:ilvl w:val="0"/>
          <w:numId w:val="15"/>
        </w:numPr>
      </w:pPr>
      <w:r>
        <w:t>All CCP cases are within scope a</w:t>
      </w:r>
      <w:r w:rsidR="0091434F">
        <w:t>nd have needs which are excep</w:t>
      </w:r>
      <w:r w:rsidR="00CB760C">
        <w:t>tional at time of consideration and at subsequent CCP reviews.</w:t>
      </w:r>
      <w:r w:rsidR="0091434F">
        <w:t xml:space="preserve"> </w:t>
      </w:r>
    </w:p>
    <w:p w14:paraId="68A4F458" w14:textId="72035ABF" w:rsidR="006E57AF" w:rsidRDefault="006E57AF" w:rsidP="0046648F">
      <w:pPr>
        <w:pStyle w:val="ListParagraph"/>
        <w:numPr>
          <w:ilvl w:val="0"/>
          <w:numId w:val="15"/>
        </w:numPr>
      </w:pPr>
      <w:r>
        <w:t>CCP decisions are</w:t>
      </w:r>
      <w:r w:rsidR="00CB760C">
        <w:t xml:space="preserve"> based on recovery</w:t>
      </w:r>
      <w:r w:rsidR="00931C17">
        <w:t>,</w:t>
      </w:r>
      <w:r w:rsidR="00CB760C">
        <w:t xml:space="preserve"> promot</w:t>
      </w:r>
      <w:r w:rsidR="002F1D8E">
        <w:t>ing</w:t>
      </w:r>
      <w:r>
        <w:t xml:space="preserve"> independence</w:t>
      </w:r>
      <w:r w:rsidR="002F1D8E">
        <w:t xml:space="preserve"> and </w:t>
      </w:r>
      <w:r w:rsidR="00517C62">
        <w:t xml:space="preserve">evidenced based best practice </w:t>
      </w:r>
    </w:p>
    <w:p w14:paraId="1B3ED333" w14:textId="77777777" w:rsidR="000F2969" w:rsidRDefault="006E57AF" w:rsidP="0046648F">
      <w:pPr>
        <w:pStyle w:val="ListParagraph"/>
        <w:numPr>
          <w:ilvl w:val="0"/>
          <w:numId w:val="15"/>
        </w:numPr>
      </w:pPr>
      <w:r>
        <w:t>CCP are meeting</w:t>
      </w:r>
      <w:r w:rsidR="00CB760C">
        <w:t xml:space="preserve"> the</w:t>
      </w:r>
      <w:r>
        <w:t xml:space="preserve"> requirements of section 117 aftercare and eligibility is continually reviewed.</w:t>
      </w:r>
    </w:p>
    <w:p w14:paraId="54390F56" w14:textId="77777777" w:rsidR="000F2969" w:rsidRDefault="000F2969" w:rsidP="0046648F">
      <w:pPr>
        <w:pStyle w:val="ListParagraph"/>
        <w:numPr>
          <w:ilvl w:val="0"/>
          <w:numId w:val="15"/>
        </w:numPr>
      </w:pPr>
      <w:r>
        <w:t xml:space="preserve">The quality of care </w:t>
      </w:r>
      <w:r w:rsidR="00CB760C">
        <w:t>and services being commissioned in conjunction with national regulation such as CQC.</w:t>
      </w:r>
    </w:p>
    <w:p w14:paraId="2C0E3ED8" w14:textId="77777777" w:rsidR="000F2969" w:rsidRDefault="000F2969" w:rsidP="0046648F">
      <w:pPr>
        <w:pStyle w:val="ListParagraph"/>
        <w:numPr>
          <w:ilvl w:val="0"/>
          <w:numId w:val="15"/>
        </w:numPr>
      </w:pPr>
      <w:r>
        <w:t>Clear involvement of individual, family and relevant others.</w:t>
      </w:r>
    </w:p>
    <w:p w14:paraId="398DADD3" w14:textId="77777777" w:rsidR="000F2969" w:rsidRDefault="000F2969" w:rsidP="0046648F">
      <w:pPr>
        <w:pStyle w:val="ListParagraph"/>
        <w:numPr>
          <w:ilvl w:val="0"/>
          <w:numId w:val="15"/>
        </w:numPr>
      </w:pPr>
      <w:r>
        <w:t xml:space="preserve">Identify and highlight gaps in service provision in Somerset. </w:t>
      </w:r>
    </w:p>
    <w:p w14:paraId="0B524AD4" w14:textId="77777777" w:rsidR="00A074F5" w:rsidRDefault="00A074F5" w:rsidP="0046648F">
      <w:pPr>
        <w:pStyle w:val="ListParagraph"/>
        <w:numPr>
          <w:ilvl w:val="0"/>
          <w:numId w:val="15"/>
        </w:numPr>
      </w:pPr>
      <w:r>
        <w:t>Unacceptable delays within care pathways.</w:t>
      </w:r>
    </w:p>
    <w:p w14:paraId="6F0D4BF4" w14:textId="77777777" w:rsidR="000F2969" w:rsidRDefault="000F2969" w:rsidP="000F2969"/>
    <w:p w14:paraId="6C27BE88" w14:textId="77777777" w:rsidR="00E1161D" w:rsidRPr="00142933" w:rsidRDefault="00E1161D" w:rsidP="000F2969">
      <w:pPr>
        <w:rPr>
          <w:u w:val="single"/>
        </w:rPr>
      </w:pPr>
      <w:r w:rsidRPr="00142933">
        <w:rPr>
          <w:u w:val="single"/>
        </w:rPr>
        <w:t>Methods Used</w:t>
      </w:r>
    </w:p>
    <w:p w14:paraId="4BC56104" w14:textId="77777777" w:rsidR="00E1161D" w:rsidRDefault="00E1161D" w:rsidP="00E1161D"/>
    <w:p w14:paraId="6E27A8CC" w14:textId="77777777" w:rsidR="00E1161D" w:rsidRDefault="00CB760C" w:rsidP="00E1161D">
      <w:pPr>
        <w:pStyle w:val="ListParagraph"/>
        <w:numPr>
          <w:ilvl w:val="0"/>
          <w:numId w:val="18"/>
        </w:numPr>
      </w:pPr>
      <w:r>
        <w:t>Use CCP h</w:t>
      </w:r>
      <w:r w:rsidR="00E1161D">
        <w:t>earing</w:t>
      </w:r>
      <w:r w:rsidR="00142933">
        <w:t>s</w:t>
      </w:r>
      <w:r w:rsidR="00E1161D">
        <w:t xml:space="preserve"> to ensure all sections of CCP funding request</w:t>
      </w:r>
      <w:r>
        <w:t xml:space="preserve"> and commitment</w:t>
      </w:r>
      <w:r w:rsidR="00E1161D">
        <w:t xml:space="preserve"> form</w:t>
      </w:r>
      <w:r>
        <w:t>s</w:t>
      </w:r>
      <w:r w:rsidR="00E1161D">
        <w:t xml:space="preserve"> are completed.</w:t>
      </w:r>
    </w:p>
    <w:p w14:paraId="02838BDB" w14:textId="27CCE492" w:rsidR="00E1161D" w:rsidRDefault="00E1161D" w:rsidP="00E1161D">
      <w:pPr>
        <w:pStyle w:val="ListParagraph"/>
        <w:numPr>
          <w:ilvl w:val="0"/>
          <w:numId w:val="18"/>
        </w:numPr>
      </w:pPr>
      <w:r>
        <w:t>CCP casework reviews are booked at the end of each CCP hearings into CCP outlook diary.</w:t>
      </w:r>
    </w:p>
    <w:p w14:paraId="7A698D4D" w14:textId="052F2F4F" w:rsidR="001422D3" w:rsidRDefault="001422D3" w:rsidP="00E1161D">
      <w:pPr>
        <w:pStyle w:val="ListParagraph"/>
        <w:numPr>
          <w:ilvl w:val="0"/>
          <w:numId w:val="18"/>
        </w:numPr>
      </w:pPr>
      <w:r>
        <w:t>CCP casework review frequency to be rated according to complexity</w:t>
      </w:r>
      <w:r w:rsidR="00D56272">
        <w:t>. Expected outcomes and cost.</w:t>
      </w:r>
    </w:p>
    <w:p w14:paraId="0B98F9D9" w14:textId="77777777" w:rsidR="00E1161D" w:rsidRDefault="00E1161D" w:rsidP="00E1161D">
      <w:pPr>
        <w:pStyle w:val="ListParagraph"/>
        <w:numPr>
          <w:ilvl w:val="0"/>
          <w:numId w:val="18"/>
        </w:numPr>
      </w:pPr>
      <w:r>
        <w:t>For CCP to ensure all new presentations are within scope of CCP on receipt of paperwork.</w:t>
      </w:r>
    </w:p>
    <w:p w14:paraId="06B5B089" w14:textId="77777777" w:rsidR="00A24454" w:rsidRDefault="00CB760C" w:rsidP="00A24454">
      <w:pPr>
        <w:pStyle w:val="ListParagraph"/>
        <w:numPr>
          <w:ilvl w:val="0"/>
          <w:numId w:val="18"/>
        </w:numPr>
      </w:pPr>
      <w:r>
        <w:t>Use</w:t>
      </w:r>
      <w:r w:rsidR="00142933">
        <w:t xml:space="preserve"> of</w:t>
      </w:r>
      <w:r>
        <w:t xml:space="preserve"> CCP</w:t>
      </w:r>
      <w:r w:rsidR="00E1161D">
        <w:t xml:space="preserve"> integrated </w:t>
      </w:r>
      <w:r w:rsidR="00A24454">
        <w:t xml:space="preserve">Provider </w:t>
      </w:r>
      <w:r w:rsidR="00E1161D">
        <w:t>Quality Assurance Process</w:t>
      </w:r>
      <w:r w:rsidR="00A24454">
        <w:t>.</w:t>
      </w:r>
    </w:p>
    <w:p w14:paraId="034232CF" w14:textId="77777777" w:rsidR="00A24454" w:rsidRDefault="00A24454" w:rsidP="00E1161D">
      <w:pPr>
        <w:pStyle w:val="ListParagraph"/>
        <w:numPr>
          <w:ilvl w:val="0"/>
          <w:numId w:val="18"/>
        </w:numPr>
      </w:pPr>
      <w:r>
        <w:t>6 weekly CCP Business Meetings to monitor progress in all practice areas. Track progress on</w:t>
      </w:r>
      <w:r w:rsidR="00875F2F">
        <w:t xml:space="preserve"> practice related areas</w:t>
      </w:r>
      <w:r w:rsidR="001877D6">
        <w:t xml:space="preserve"> within</w:t>
      </w:r>
      <w:r>
        <w:t xml:space="preserve"> CCP Development Plan.</w:t>
      </w:r>
    </w:p>
    <w:p w14:paraId="1DA3D884" w14:textId="77777777" w:rsidR="00A24454" w:rsidRDefault="00A24454" w:rsidP="00E1161D">
      <w:pPr>
        <w:pStyle w:val="ListParagraph"/>
        <w:numPr>
          <w:ilvl w:val="0"/>
          <w:numId w:val="18"/>
        </w:numPr>
      </w:pPr>
      <w:r>
        <w:t>Updates to Mental Health &amp; Learning Disability Strategic Cell every 3 months.</w:t>
      </w:r>
    </w:p>
    <w:p w14:paraId="31B5FE10" w14:textId="77777777" w:rsidR="00652EC7" w:rsidRDefault="00F24B69" w:rsidP="000F2969">
      <w:pPr>
        <w:pStyle w:val="ListParagraph"/>
        <w:numPr>
          <w:ilvl w:val="0"/>
          <w:numId w:val="18"/>
        </w:numPr>
      </w:pPr>
      <w:r>
        <w:t>Review CCP SOP every 12 months.</w:t>
      </w:r>
    </w:p>
    <w:p w14:paraId="2DE07D4C" w14:textId="77777777" w:rsidR="006E57AF" w:rsidRPr="0046648F" w:rsidRDefault="006E57AF" w:rsidP="00652EC7">
      <w:pPr>
        <w:pStyle w:val="ListParagraph"/>
      </w:pPr>
      <w:r>
        <w:t xml:space="preserve"> </w:t>
      </w:r>
    </w:p>
    <w:p w14:paraId="1833A7C3" w14:textId="77777777" w:rsidR="0046648F" w:rsidRDefault="0046648F" w:rsidP="00EE2B80">
      <w:pPr>
        <w:rPr>
          <w:u w:val="single"/>
        </w:rPr>
      </w:pPr>
    </w:p>
    <w:p w14:paraId="10B7A930" w14:textId="77777777" w:rsidR="0046648F" w:rsidRDefault="0046648F" w:rsidP="00EE2B80">
      <w:pPr>
        <w:rPr>
          <w:u w:val="single"/>
        </w:rPr>
      </w:pPr>
      <w:r>
        <w:rPr>
          <w:u w:val="single"/>
        </w:rPr>
        <w:t>CCP Finance Standards</w:t>
      </w:r>
    </w:p>
    <w:p w14:paraId="70E26140" w14:textId="77777777" w:rsidR="0046648F" w:rsidRDefault="0046648F" w:rsidP="00EE2B80">
      <w:pPr>
        <w:rPr>
          <w:u w:val="single"/>
        </w:rPr>
      </w:pPr>
    </w:p>
    <w:p w14:paraId="37B9CF65" w14:textId="77777777" w:rsidR="0046648F" w:rsidRDefault="0046648F" w:rsidP="00EE2B80">
      <w:r>
        <w:t>Areas to be monitored</w:t>
      </w:r>
    </w:p>
    <w:p w14:paraId="6E563094" w14:textId="77777777" w:rsidR="00221553" w:rsidRDefault="00221553" w:rsidP="00EE2B80"/>
    <w:p w14:paraId="7B928444" w14:textId="7CD1B6EA" w:rsidR="00A074F5" w:rsidRDefault="00A074F5" w:rsidP="0046648F">
      <w:pPr>
        <w:pStyle w:val="ListParagraph"/>
        <w:numPr>
          <w:ilvl w:val="0"/>
          <w:numId w:val="15"/>
        </w:numPr>
      </w:pPr>
      <w:r>
        <w:t xml:space="preserve">Level of spend on additional 1:1 care </w:t>
      </w:r>
      <w:r w:rsidR="005358DB">
        <w:t>cost</w:t>
      </w:r>
      <w:r>
        <w:t>.</w:t>
      </w:r>
    </w:p>
    <w:p w14:paraId="3EE91120" w14:textId="5F4CC8E6" w:rsidR="00A074F5" w:rsidRDefault="00A074F5" w:rsidP="0046648F">
      <w:pPr>
        <w:pStyle w:val="ListParagraph"/>
        <w:numPr>
          <w:ilvl w:val="0"/>
          <w:numId w:val="15"/>
        </w:numPr>
      </w:pPr>
      <w:r>
        <w:t xml:space="preserve">Use of additional review and risk management processes to scrutinise </w:t>
      </w:r>
      <w:r w:rsidR="00931C17">
        <w:t>high-cost</w:t>
      </w:r>
      <w:r w:rsidR="00A24454">
        <w:t xml:space="preserve"> packages over £2000 per week. </w:t>
      </w:r>
    </w:p>
    <w:p w14:paraId="0E42CC2C" w14:textId="77777777" w:rsidR="00A074F5" w:rsidRDefault="00A074F5" w:rsidP="0046648F">
      <w:pPr>
        <w:pStyle w:val="ListParagraph"/>
        <w:numPr>
          <w:ilvl w:val="0"/>
          <w:numId w:val="15"/>
        </w:numPr>
      </w:pPr>
      <w:r>
        <w:t>Projected spend to CCP budget is available at all times.</w:t>
      </w:r>
    </w:p>
    <w:p w14:paraId="339F7BC4" w14:textId="77777777" w:rsidR="00A074F5" w:rsidRDefault="00A074F5" w:rsidP="0046648F">
      <w:pPr>
        <w:pStyle w:val="ListParagraph"/>
        <w:numPr>
          <w:ilvl w:val="0"/>
          <w:numId w:val="15"/>
        </w:numPr>
      </w:pPr>
      <w:r>
        <w:t>Cost movement within CCP budget is reviewed and shared on a monthly basis.</w:t>
      </w:r>
    </w:p>
    <w:p w14:paraId="085BE87F" w14:textId="77777777" w:rsidR="00A074F5" w:rsidRDefault="00A074F5" w:rsidP="0046648F">
      <w:pPr>
        <w:pStyle w:val="ListParagraph"/>
        <w:numPr>
          <w:ilvl w:val="0"/>
          <w:numId w:val="15"/>
        </w:numPr>
      </w:pPr>
      <w:r>
        <w:t>Payments to providers are timely and accurate including dates of payment changes.</w:t>
      </w:r>
    </w:p>
    <w:p w14:paraId="48F2FEE4" w14:textId="77777777" w:rsidR="0046648F" w:rsidRDefault="00E1161D" w:rsidP="0046648F">
      <w:pPr>
        <w:pStyle w:val="ListParagraph"/>
        <w:numPr>
          <w:ilvl w:val="0"/>
          <w:numId w:val="15"/>
        </w:numPr>
      </w:pPr>
      <w:r>
        <w:t>Progress against invest to save proposal.</w:t>
      </w:r>
    </w:p>
    <w:p w14:paraId="2D2957DB" w14:textId="77777777" w:rsidR="00E1161D" w:rsidRDefault="00E1161D" w:rsidP="0046648F">
      <w:pPr>
        <w:pStyle w:val="ListParagraph"/>
        <w:numPr>
          <w:ilvl w:val="0"/>
          <w:numId w:val="15"/>
        </w:numPr>
      </w:pPr>
      <w:r>
        <w:t>Progress against agreed Cost Improvement Plans.</w:t>
      </w:r>
    </w:p>
    <w:p w14:paraId="261C3D09" w14:textId="77777777" w:rsidR="00A24454" w:rsidRDefault="00A24454" w:rsidP="00A24454"/>
    <w:p w14:paraId="245E38E5" w14:textId="77777777" w:rsidR="00A24454" w:rsidRPr="00142933" w:rsidRDefault="00A24454" w:rsidP="00A24454">
      <w:pPr>
        <w:rPr>
          <w:u w:val="single"/>
        </w:rPr>
      </w:pPr>
      <w:r w:rsidRPr="00142933">
        <w:rPr>
          <w:u w:val="single"/>
        </w:rPr>
        <w:t>Methods Used</w:t>
      </w:r>
    </w:p>
    <w:p w14:paraId="4DB96CA0" w14:textId="77777777" w:rsidR="00A24454" w:rsidRDefault="00A24454" w:rsidP="00A24454"/>
    <w:p w14:paraId="5D89223F" w14:textId="764087BC" w:rsidR="00100A7C" w:rsidRDefault="00A24454" w:rsidP="00A24454">
      <w:pPr>
        <w:pStyle w:val="ListParagraph"/>
        <w:numPr>
          <w:ilvl w:val="0"/>
          <w:numId w:val="20"/>
        </w:numPr>
      </w:pPr>
      <w:r>
        <w:t xml:space="preserve">Monthly finance meetings to monitor progress against agreed Cost Improvement Plan, monitor additional 1:1 </w:t>
      </w:r>
      <w:r w:rsidR="00931C17">
        <w:t>cost</w:t>
      </w:r>
      <w:r>
        <w:t xml:space="preserve"> and </w:t>
      </w:r>
      <w:r w:rsidR="005358DB">
        <w:t>high-cost</w:t>
      </w:r>
      <w:r>
        <w:t xml:space="preserve"> packages</w:t>
      </w:r>
      <w:r w:rsidR="00100A7C">
        <w:t xml:space="preserve"> with increased scrutiny</w:t>
      </w:r>
      <w:r w:rsidR="00F24B69">
        <w:t>.</w:t>
      </w:r>
    </w:p>
    <w:p w14:paraId="70F3A8D8" w14:textId="461E8E24" w:rsidR="00F24B69" w:rsidRDefault="001877D6" w:rsidP="00A24454">
      <w:pPr>
        <w:pStyle w:val="ListParagraph"/>
        <w:numPr>
          <w:ilvl w:val="0"/>
          <w:numId w:val="20"/>
        </w:numPr>
      </w:pPr>
      <w:r>
        <w:t xml:space="preserve">Regular </w:t>
      </w:r>
      <w:r w:rsidR="00931C17">
        <w:t>in-depth</w:t>
      </w:r>
      <w:r w:rsidR="00F24B69">
        <w:t xml:space="preserve"> reviews of high cost and additional 1:1 care packages with tailored individual value for money plans with direct provider input.</w:t>
      </w:r>
    </w:p>
    <w:p w14:paraId="4EA15E21" w14:textId="77777777" w:rsidR="00875F2F" w:rsidRDefault="00F24B69" w:rsidP="00A24454">
      <w:pPr>
        <w:pStyle w:val="ListParagraph"/>
        <w:numPr>
          <w:ilvl w:val="0"/>
          <w:numId w:val="20"/>
        </w:numPr>
      </w:pPr>
      <w:r>
        <w:t xml:space="preserve">Create collaborative and beneficial to all plans with key providers for specific need and service areas. </w:t>
      </w:r>
    </w:p>
    <w:p w14:paraId="1FA4F4FA" w14:textId="77777777" w:rsidR="00CB760C" w:rsidRDefault="00875F2F" w:rsidP="00A24454">
      <w:pPr>
        <w:pStyle w:val="ListParagraph"/>
        <w:numPr>
          <w:ilvl w:val="0"/>
          <w:numId w:val="20"/>
        </w:numPr>
      </w:pPr>
      <w:r>
        <w:t>Monitor progress against agreed finance aims within CCP Development Plan review process</w:t>
      </w:r>
    </w:p>
    <w:p w14:paraId="1656DE42" w14:textId="77777777" w:rsidR="00A24454" w:rsidRPr="0046648F" w:rsidRDefault="00CB760C" w:rsidP="00A24454">
      <w:pPr>
        <w:pStyle w:val="ListParagraph"/>
        <w:numPr>
          <w:ilvl w:val="0"/>
          <w:numId w:val="20"/>
        </w:numPr>
      </w:pPr>
      <w:r>
        <w:t xml:space="preserve">Regular meeting with Providers to review models of provision and individual funding specifications. </w:t>
      </w:r>
      <w:r w:rsidR="00F24B69">
        <w:t xml:space="preserve"> </w:t>
      </w:r>
      <w:r w:rsidR="00A24454">
        <w:t xml:space="preserve"> </w:t>
      </w:r>
    </w:p>
    <w:p w14:paraId="1D994FBD" w14:textId="77777777" w:rsidR="0046648F" w:rsidRDefault="0046648F" w:rsidP="00EE2B80"/>
    <w:p w14:paraId="1D94BD42" w14:textId="77777777" w:rsidR="00BC0739" w:rsidRPr="006B0AAF" w:rsidRDefault="00BC0739" w:rsidP="001C4A23">
      <w:pPr>
        <w:pStyle w:val="Heading2"/>
      </w:pPr>
      <w:bookmarkStart w:id="1" w:name="OLE_LINK10"/>
    </w:p>
    <w:bookmarkEnd w:id="1"/>
    <w:p w14:paraId="6E2D5E45" w14:textId="77777777" w:rsidR="00142933" w:rsidRDefault="00142933" w:rsidP="00553E27">
      <w:pPr>
        <w:rPr>
          <w:b/>
          <w:u w:val="single"/>
        </w:rPr>
      </w:pPr>
    </w:p>
    <w:p w14:paraId="5D868057" w14:textId="77777777" w:rsidR="00142933" w:rsidRDefault="00142933" w:rsidP="00553E27">
      <w:pPr>
        <w:rPr>
          <w:b/>
          <w:u w:val="single"/>
        </w:rPr>
      </w:pPr>
    </w:p>
    <w:p w14:paraId="0BF66C70" w14:textId="77777777" w:rsidR="00142933" w:rsidRDefault="00142933" w:rsidP="00553E27">
      <w:pPr>
        <w:rPr>
          <w:b/>
          <w:u w:val="single"/>
        </w:rPr>
      </w:pPr>
    </w:p>
    <w:p w14:paraId="07AACE92" w14:textId="77777777" w:rsidR="00142933" w:rsidRDefault="00142933" w:rsidP="00553E27">
      <w:pPr>
        <w:rPr>
          <w:b/>
          <w:u w:val="single"/>
        </w:rPr>
      </w:pPr>
    </w:p>
    <w:p w14:paraId="3EC36E43" w14:textId="77777777" w:rsidR="00A40E51" w:rsidRPr="00553E27" w:rsidRDefault="00553E27" w:rsidP="00553E27">
      <w:pPr>
        <w:rPr>
          <w:rFonts w:cs="Arial"/>
          <w:b/>
          <w:i/>
          <w:sz w:val="22"/>
          <w:szCs w:val="22"/>
        </w:rPr>
      </w:pPr>
      <w:r>
        <w:rPr>
          <w:b/>
          <w:u w:val="single"/>
        </w:rPr>
        <w:t>10 REFERENCES</w:t>
      </w:r>
      <w:r w:rsidR="00A40E51" w:rsidRPr="00553E27">
        <w:rPr>
          <w:b/>
          <w:u w:val="single"/>
        </w:rPr>
        <w:t xml:space="preserve"> AND ASSOCIATED DOCUMENTS</w:t>
      </w:r>
    </w:p>
    <w:p w14:paraId="6A69D528" w14:textId="77777777" w:rsidR="00C818A4" w:rsidRDefault="00C818A4" w:rsidP="00C818A4">
      <w:pPr>
        <w:pStyle w:val="Heading5"/>
        <w:tabs>
          <w:tab w:val="num" w:pos="709"/>
        </w:tabs>
        <w:spacing w:after="0"/>
        <w:ind w:left="0"/>
        <w:rPr>
          <w:bCs w:val="0"/>
        </w:rPr>
      </w:pPr>
    </w:p>
    <w:p w14:paraId="7923510B" w14:textId="77777777" w:rsidR="00A40E51" w:rsidRDefault="00A40E51" w:rsidP="00C818A4">
      <w:pPr>
        <w:pStyle w:val="Heading5"/>
        <w:tabs>
          <w:tab w:val="num" w:pos="709"/>
        </w:tabs>
        <w:spacing w:after="0"/>
        <w:ind w:left="0"/>
        <w:rPr>
          <w:rFonts w:cs="Arial"/>
        </w:rPr>
      </w:pPr>
      <w:r w:rsidRPr="003E4267">
        <w:rPr>
          <w:rFonts w:cs="Arial"/>
        </w:rPr>
        <w:t>References</w:t>
      </w:r>
    </w:p>
    <w:p w14:paraId="5AE91A51" w14:textId="77777777" w:rsidR="00C818A4" w:rsidRDefault="00C818A4" w:rsidP="00C818A4"/>
    <w:p w14:paraId="3BA37110" w14:textId="77777777" w:rsidR="00C818A4" w:rsidRDefault="00C818A4" w:rsidP="00C818A4">
      <w:pPr>
        <w:autoSpaceDE w:val="0"/>
        <w:autoSpaceDN w:val="0"/>
        <w:adjustRightInd w:val="0"/>
        <w:rPr>
          <w:rFonts w:cs="Arial"/>
          <w:color w:val="000000"/>
          <w:sz w:val="23"/>
          <w:szCs w:val="23"/>
          <w:lang w:eastAsia="en-GB"/>
        </w:rPr>
      </w:pPr>
      <w:r w:rsidRPr="00C818A4">
        <w:rPr>
          <w:rFonts w:cs="Arial"/>
          <w:color w:val="000000"/>
          <w:sz w:val="23"/>
          <w:szCs w:val="23"/>
          <w:lang w:eastAsia="en-GB"/>
        </w:rPr>
        <w:t xml:space="preserve">Department of Health, (February 2000), </w:t>
      </w:r>
      <w:r w:rsidRPr="00C818A4">
        <w:rPr>
          <w:rFonts w:cs="Arial"/>
          <w:i/>
          <w:iCs/>
          <w:color w:val="000000"/>
          <w:sz w:val="23"/>
          <w:szCs w:val="23"/>
          <w:lang w:eastAsia="en-GB"/>
        </w:rPr>
        <w:t>After-Care Under The Mental Health Act 1983, Section 117 After-Care Services HSC 2000/003: LAC (200)3</w:t>
      </w:r>
      <w:r w:rsidRPr="00C818A4">
        <w:rPr>
          <w:rFonts w:cs="Arial"/>
          <w:b/>
          <w:bCs/>
          <w:i/>
          <w:iCs/>
          <w:color w:val="000000"/>
          <w:sz w:val="23"/>
          <w:szCs w:val="23"/>
          <w:lang w:eastAsia="en-GB"/>
        </w:rPr>
        <w:t xml:space="preserve">, </w:t>
      </w:r>
      <w:r w:rsidRPr="00C818A4">
        <w:rPr>
          <w:rFonts w:cs="Arial"/>
          <w:color w:val="000000"/>
          <w:sz w:val="23"/>
          <w:szCs w:val="23"/>
          <w:lang w:eastAsia="en-GB"/>
        </w:rPr>
        <w:t>DOH 2000</w:t>
      </w:r>
    </w:p>
    <w:p w14:paraId="08355246" w14:textId="77777777" w:rsidR="00C818A4" w:rsidRPr="00C818A4" w:rsidRDefault="00C818A4" w:rsidP="00C818A4">
      <w:pPr>
        <w:autoSpaceDE w:val="0"/>
        <w:autoSpaceDN w:val="0"/>
        <w:adjustRightInd w:val="0"/>
        <w:rPr>
          <w:rFonts w:cs="Arial"/>
          <w:color w:val="000000"/>
          <w:sz w:val="23"/>
          <w:szCs w:val="23"/>
          <w:lang w:eastAsia="en-GB"/>
        </w:rPr>
      </w:pPr>
      <w:r w:rsidRPr="00C818A4">
        <w:rPr>
          <w:rFonts w:cs="Arial"/>
          <w:color w:val="000000"/>
          <w:sz w:val="23"/>
          <w:szCs w:val="23"/>
          <w:lang w:eastAsia="en-GB"/>
        </w:rPr>
        <w:t xml:space="preserve"> </w:t>
      </w:r>
    </w:p>
    <w:p w14:paraId="00A20AA5" w14:textId="77777777" w:rsidR="00C818A4" w:rsidRDefault="00C818A4" w:rsidP="00C818A4">
      <w:pPr>
        <w:autoSpaceDE w:val="0"/>
        <w:autoSpaceDN w:val="0"/>
        <w:adjustRightInd w:val="0"/>
        <w:rPr>
          <w:rFonts w:cs="Arial"/>
          <w:color w:val="000000"/>
          <w:sz w:val="23"/>
          <w:szCs w:val="23"/>
          <w:lang w:eastAsia="en-GB"/>
        </w:rPr>
      </w:pPr>
      <w:r w:rsidRPr="00C818A4">
        <w:rPr>
          <w:rFonts w:cs="Arial"/>
          <w:color w:val="000000"/>
          <w:sz w:val="23"/>
          <w:szCs w:val="23"/>
          <w:lang w:eastAsia="en-GB"/>
        </w:rPr>
        <w:t xml:space="preserve">Department of Health, (October 2014). </w:t>
      </w:r>
      <w:r w:rsidRPr="00C818A4">
        <w:rPr>
          <w:rFonts w:cs="Arial"/>
          <w:i/>
          <w:iCs/>
          <w:color w:val="000000"/>
          <w:sz w:val="23"/>
          <w:szCs w:val="23"/>
          <w:lang w:eastAsia="en-GB"/>
        </w:rPr>
        <w:t xml:space="preserve">Care Act: Care and Support Statutory Guidance. </w:t>
      </w:r>
      <w:r w:rsidRPr="00C818A4">
        <w:rPr>
          <w:rFonts w:cs="Arial"/>
          <w:color w:val="000000"/>
          <w:sz w:val="23"/>
          <w:szCs w:val="23"/>
          <w:lang w:eastAsia="en-GB"/>
        </w:rPr>
        <w:t xml:space="preserve">DH, London </w:t>
      </w:r>
    </w:p>
    <w:p w14:paraId="637F0CCB" w14:textId="77777777" w:rsidR="00C818A4" w:rsidRPr="00C818A4" w:rsidRDefault="00C818A4" w:rsidP="00C818A4">
      <w:pPr>
        <w:autoSpaceDE w:val="0"/>
        <w:autoSpaceDN w:val="0"/>
        <w:adjustRightInd w:val="0"/>
        <w:rPr>
          <w:rFonts w:cs="Arial"/>
          <w:color w:val="000000"/>
          <w:sz w:val="23"/>
          <w:szCs w:val="23"/>
          <w:lang w:eastAsia="en-GB"/>
        </w:rPr>
      </w:pPr>
    </w:p>
    <w:p w14:paraId="1C1AB213" w14:textId="77777777" w:rsidR="00C818A4" w:rsidRPr="00C818A4" w:rsidRDefault="00C818A4" w:rsidP="00C818A4">
      <w:pPr>
        <w:autoSpaceDE w:val="0"/>
        <w:autoSpaceDN w:val="0"/>
        <w:adjustRightInd w:val="0"/>
        <w:rPr>
          <w:rFonts w:cs="Arial"/>
          <w:color w:val="000000"/>
          <w:sz w:val="23"/>
          <w:szCs w:val="23"/>
          <w:lang w:eastAsia="en-GB"/>
        </w:rPr>
      </w:pPr>
      <w:r w:rsidRPr="00C818A4">
        <w:rPr>
          <w:rFonts w:cs="Arial"/>
          <w:color w:val="000000"/>
          <w:sz w:val="23"/>
          <w:szCs w:val="23"/>
          <w:lang w:eastAsia="en-GB"/>
        </w:rPr>
        <w:t xml:space="preserve">Department of Health, (Aug 2000). </w:t>
      </w:r>
      <w:r w:rsidRPr="00C818A4">
        <w:rPr>
          <w:rFonts w:cs="Arial"/>
          <w:i/>
          <w:iCs/>
          <w:color w:val="000000"/>
          <w:sz w:val="23"/>
          <w:szCs w:val="23"/>
          <w:lang w:eastAsia="en-GB"/>
        </w:rPr>
        <w:t xml:space="preserve">‘Who Pays’ </w:t>
      </w:r>
      <w:r w:rsidRPr="00C818A4">
        <w:rPr>
          <w:rFonts w:cs="Arial"/>
          <w:color w:val="000000"/>
          <w:sz w:val="23"/>
          <w:szCs w:val="23"/>
          <w:lang w:eastAsia="en-GB"/>
        </w:rPr>
        <w:t xml:space="preserve">Determining which NHS </w:t>
      </w:r>
    </w:p>
    <w:p w14:paraId="472E382D" w14:textId="367E9A08" w:rsidR="00C818A4" w:rsidRPr="00C818A4" w:rsidRDefault="00C818A4" w:rsidP="00C818A4">
      <w:pPr>
        <w:autoSpaceDE w:val="0"/>
        <w:autoSpaceDN w:val="0"/>
        <w:adjustRightInd w:val="0"/>
        <w:rPr>
          <w:rFonts w:cs="Arial"/>
          <w:color w:val="000000"/>
          <w:sz w:val="23"/>
          <w:szCs w:val="23"/>
          <w:lang w:eastAsia="en-GB"/>
        </w:rPr>
      </w:pPr>
      <w:r w:rsidRPr="00C818A4">
        <w:rPr>
          <w:rFonts w:cs="Arial"/>
          <w:color w:val="000000"/>
          <w:sz w:val="23"/>
          <w:szCs w:val="23"/>
          <w:lang w:eastAsia="en-GB"/>
        </w:rPr>
        <w:t>Commissioner is responsible for making payment to a provider (Aug 2020)</w:t>
      </w:r>
      <w:r w:rsidR="00517C62">
        <w:rPr>
          <w:rFonts w:cs="Arial"/>
          <w:color w:val="000000"/>
          <w:sz w:val="23"/>
          <w:szCs w:val="23"/>
          <w:lang w:eastAsia="en-GB"/>
        </w:rPr>
        <w:t xml:space="preserve"> </w:t>
      </w:r>
    </w:p>
    <w:p w14:paraId="532DF5CE" w14:textId="77777777" w:rsidR="000A39BB" w:rsidRDefault="000A39BB" w:rsidP="00D84FAF">
      <w:pPr>
        <w:pStyle w:val="Heading2"/>
        <w:ind w:left="709"/>
        <w:rPr>
          <w:rFonts w:cs="Arial"/>
          <w:b w:val="0"/>
          <w:bCs w:val="0"/>
        </w:rPr>
      </w:pPr>
    </w:p>
    <w:p w14:paraId="253BC969" w14:textId="77777777" w:rsidR="000A39BB" w:rsidRDefault="000A39BB" w:rsidP="000A39BB">
      <w:pPr>
        <w:pStyle w:val="Heading2"/>
        <w:rPr>
          <w:rFonts w:cs="Arial"/>
          <w:b w:val="0"/>
          <w:bCs w:val="0"/>
        </w:rPr>
      </w:pPr>
    </w:p>
    <w:p w14:paraId="01AA985D" w14:textId="77777777" w:rsidR="00A40E51" w:rsidRPr="00EB430C" w:rsidRDefault="008534E3" w:rsidP="00AE6FE4">
      <w:pPr>
        <w:pStyle w:val="Heading2"/>
        <w:ind w:left="709" w:hanging="709"/>
        <w:rPr>
          <w:rFonts w:cs="Arial"/>
          <w:b w:val="0"/>
          <w:bCs w:val="0"/>
        </w:rPr>
      </w:pPr>
      <w:r>
        <w:rPr>
          <w:rFonts w:cs="Arial"/>
          <w:bCs w:val="0"/>
        </w:rPr>
        <w:t>11</w:t>
      </w:r>
      <w:r w:rsidR="000A39BB">
        <w:rPr>
          <w:rFonts w:cs="Arial"/>
          <w:bCs w:val="0"/>
        </w:rPr>
        <w:t xml:space="preserve"> </w:t>
      </w:r>
      <w:r w:rsidR="00AE6FE4">
        <w:rPr>
          <w:rFonts w:cs="Arial"/>
          <w:bCs w:val="0"/>
        </w:rPr>
        <w:tab/>
      </w:r>
      <w:r w:rsidR="00A40E51" w:rsidRPr="006B0AAF">
        <w:t>APPENDICES</w:t>
      </w:r>
    </w:p>
    <w:p w14:paraId="08A3EBC0" w14:textId="77777777" w:rsidR="0028188F" w:rsidRPr="0028188F" w:rsidRDefault="0028188F" w:rsidP="00AE6FE4">
      <w:pPr>
        <w:ind w:left="709" w:hanging="709"/>
      </w:pPr>
    </w:p>
    <w:p w14:paraId="1397CE91" w14:textId="77777777" w:rsidR="00B6272E" w:rsidRDefault="00342746" w:rsidP="002D5F7D">
      <w:pPr>
        <w:spacing w:before="120" w:after="120" w:line="360" w:lineRule="auto"/>
        <w:ind w:firstLine="709"/>
        <w:rPr>
          <w:rFonts w:cs="Arial"/>
        </w:rPr>
      </w:pPr>
      <w:r>
        <w:rPr>
          <w:rFonts w:cs="Arial"/>
        </w:rPr>
        <w:t xml:space="preserve">Appendix A </w:t>
      </w:r>
    </w:p>
    <w:p w14:paraId="41DC426B" w14:textId="77777777" w:rsidR="001C4A23" w:rsidRDefault="001C4A23" w:rsidP="002D5F7D">
      <w:pPr>
        <w:spacing w:before="120" w:after="120" w:line="360" w:lineRule="auto"/>
        <w:ind w:firstLine="709"/>
        <w:rPr>
          <w:rFonts w:cs="Arial"/>
        </w:rPr>
      </w:pPr>
      <w:r>
        <w:rPr>
          <w:rFonts w:cs="Arial"/>
        </w:rPr>
        <w:t xml:space="preserve">Appendix B </w:t>
      </w:r>
    </w:p>
    <w:p w14:paraId="39ECE4D7" w14:textId="77777777" w:rsidR="001C4A23" w:rsidRDefault="001C4A23" w:rsidP="002D5F7D">
      <w:pPr>
        <w:spacing w:before="120" w:after="120" w:line="360" w:lineRule="auto"/>
        <w:ind w:firstLine="709"/>
        <w:rPr>
          <w:rFonts w:cs="Arial"/>
        </w:rPr>
      </w:pPr>
      <w:r>
        <w:rPr>
          <w:rFonts w:cs="Arial"/>
        </w:rPr>
        <w:t>Appendix C</w:t>
      </w:r>
    </w:p>
    <w:p w14:paraId="5013E5B8" w14:textId="77777777" w:rsidR="00B6272E" w:rsidRDefault="00B6272E" w:rsidP="00DA13BD">
      <w:pPr>
        <w:spacing w:before="120" w:after="120" w:line="360" w:lineRule="auto"/>
        <w:rPr>
          <w:rFonts w:cs="Arial"/>
        </w:rPr>
      </w:pPr>
    </w:p>
    <w:sectPr w:rsidR="00B6272E" w:rsidSect="003E59D8">
      <w:headerReference w:type="default" r:id="rId11"/>
      <w:footerReference w:type="even" r:id="rId12"/>
      <w:footerReference w:type="default" r:id="rId13"/>
      <w:headerReference w:type="first" r:id="rId14"/>
      <w:footerReference w:type="first" r:id="rId15"/>
      <w:pgSz w:w="11906" w:h="16838"/>
      <w:pgMar w:top="1418" w:right="1418" w:bottom="1418" w:left="1418" w:header="0"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E526" w14:textId="77777777" w:rsidR="003E59D8" w:rsidRDefault="003E59D8">
      <w:r>
        <w:separator/>
      </w:r>
    </w:p>
  </w:endnote>
  <w:endnote w:type="continuationSeparator" w:id="0">
    <w:p w14:paraId="08F1A944" w14:textId="77777777" w:rsidR="003E59D8" w:rsidRDefault="003E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84B1" w14:textId="77777777" w:rsidR="00066901" w:rsidRDefault="00066901" w:rsidP="00D769FA">
    <w:pPr>
      <w:pStyle w:val="Footer"/>
      <w:tabs>
        <w:tab w:val="clear" w:pos="4153"/>
        <w:tab w:val="clear" w:pos="8306"/>
        <w:tab w:val="center" w:pos="4440"/>
        <w:tab w:val="right" w:pos="9240"/>
      </w:tabs>
      <w:jc w:val="center"/>
      <w:rPr>
        <w:rFonts w:cs="Arial"/>
        <w:sz w:val="18"/>
        <w:szCs w:val="18"/>
      </w:rPr>
    </w:pPr>
    <w:r>
      <w:rPr>
        <w:rFonts w:cs="Arial"/>
        <w:sz w:val="18"/>
        <w:szCs w:val="18"/>
      </w:rPr>
      <w:t>Standard Operating Procedure on Managing Policies, Procedures and Guidance Documents</w:t>
    </w:r>
  </w:p>
  <w:p w14:paraId="17EA4ADA" w14:textId="77777777" w:rsidR="00066901" w:rsidRPr="000E2669" w:rsidRDefault="00E337E7" w:rsidP="002B6AE9">
    <w:pPr>
      <w:pStyle w:val="Footer"/>
      <w:tabs>
        <w:tab w:val="clear" w:pos="4153"/>
        <w:tab w:val="clear" w:pos="8306"/>
        <w:tab w:val="center" w:pos="3828"/>
        <w:tab w:val="right" w:pos="8505"/>
        <w:tab w:val="left" w:pos="9639"/>
      </w:tabs>
      <w:jc w:val="center"/>
      <w:rPr>
        <w:rFonts w:cs="Arial"/>
        <w:sz w:val="18"/>
        <w:szCs w:val="18"/>
      </w:rPr>
    </w:pPr>
    <w:r>
      <w:rPr>
        <w:rFonts w:cs="Arial"/>
        <w:sz w:val="18"/>
        <w:szCs w:val="18"/>
      </w:rPr>
      <w:t>V4</w:t>
    </w:r>
    <w:r w:rsidR="00066901">
      <w:rPr>
        <w:rFonts w:cs="Arial"/>
        <w:sz w:val="18"/>
        <w:szCs w:val="18"/>
      </w:rPr>
      <w:tab/>
      <w:t xml:space="preserve">- </w:t>
    </w:r>
    <w:r w:rsidR="00066901">
      <w:rPr>
        <w:rFonts w:cs="Arial"/>
        <w:sz w:val="18"/>
        <w:szCs w:val="18"/>
      </w:rPr>
      <w:fldChar w:fldCharType="begin"/>
    </w:r>
    <w:r w:rsidR="00066901">
      <w:rPr>
        <w:rFonts w:cs="Arial"/>
        <w:sz w:val="18"/>
        <w:szCs w:val="18"/>
      </w:rPr>
      <w:instrText xml:space="preserve"> PAGE </w:instrText>
    </w:r>
    <w:r w:rsidR="00066901">
      <w:rPr>
        <w:rFonts w:cs="Arial"/>
        <w:sz w:val="18"/>
        <w:szCs w:val="18"/>
      </w:rPr>
      <w:fldChar w:fldCharType="separate"/>
    </w:r>
    <w:r w:rsidR="00142933">
      <w:rPr>
        <w:rFonts w:cs="Arial"/>
        <w:noProof/>
        <w:sz w:val="18"/>
        <w:szCs w:val="18"/>
      </w:rPr>
      <w:t>4</w:t>
    </w:r>
    <w:r w:rsidR="00066901">
      <w:rPr>
        <w:rFonts w:cs="Arial"/>
        <w:sz w:val="18"/>
        <w:szCs w:val="18"/>
      </w:rPr>
      <w:fldChar w:fldCharType="end"/>
    </w:r>
    <w:r w:rsidR="00066901">
      <w:rPr>
        <w:rFonts w:cs="Arial"/>
        <w:sz w:val="18"/>
        <w:szCs w:val="18"/>
      </w:rPr>
      <w:t xml:space="preserve"> - </w:t>
    </w:r>
    <w:r w:rsidR="00066901">
      <w:rPr>
        <w:rFonts w:cs="Arial"/>
        <w:sz w:val="18"/>
        <w:szCs w:val="18"/>
      </w:rPr>
      <w:tab/>
      <w:t>Oct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E6B3" w14:textId="77777777" w:rsidR="00066901" w:rsidRDefault="00066901" w:rsidP="00A72BDE">
    <w:pPr>
      <w:pStyle w:val="Footer"/>
      <w:tabs>
        <w:tab w:val="clear" w:pos="4153"/>
        <w:tab w:val="clear" w:pos="8306"/>
        <w:tab w:val="center" w:pos="4440"/>
        <w:tab w:val="right" w:pos="9240"/>
      </w:tabs>
      <w:jc w:val="center"/>
      <w:rPr>
        <w:rFonts w:cs="Arial"/>
        <w:sz w:val="18"/>
        <w:szCs w:val="18"/>
      </w:rPr>
    </w:pPr>
    <w:r>
      <w:rPr>
        <w:rFonts w:cs="Arial"/>
        <w:sz w:val="18"/>
        <w:szCs w:val="18"/>
      </w:rPr>
      <w:t>Standard Operating Procedure on Managing Policies, Procedures and Guidance Documents</w:t>
    </w:r>
  </w:p>
  <w:p w14:paraId="50322729" w14:textId="77777777" w:rsidR="00066901" w:rsidRPr="00171178" w:rsidRDefault="00066901" w:rsidP="002B6AE9">
    <w:pPr>
      <w:pStyle w:val="Footer"/>
      <w:tabs>
        <w:tab w:val="clear" w:pos="4153"/>
        <w:tab w:val="clear" w:pos="8306"/>
        <w:tab w:val="center" w:pos="3828"/>
        <w:tab w:val="right" w:pos="8505"/>
        <w:tab w:val="left" w:pos="9639"/>
      </w:tabs>
      <w:jc w:val="center"/>
      <w:rPr>
        <w:rFonts w:cs="Arial"/>
        <w:sz w:val="18"/>
        <w:szCs w:val="18"/>
      </w:rPr>
    </w:pPr>
    <w:r>
      <w:rPr>
        <w:rFonts w:cs="Arial"/>
        <w:sz w:val="18"/>
        <w:szCs w:val="18"/>
      </w:rPr>
      <w:t>V4</w:t>
    </w:r>
    <w:r>
      <w:rPr>
        <w:rFonts w:cs="Arial"/>
        <w:sz w:val="18"/>
        <w:szCs w:val="18"/>
      </w:rPr>
      <w:tab/>
      <w:t xml:space="preserv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142933">
      <w:rPr>
        <w:rFonts w:cs="Arial"/>
        <w:noProof/>
        <w:sz w:val="18"/>
        <w:szCs w:val="18"/>
      </w:rPr>
      <w:t>5</w:t>
    </w:r>
    <w:r>
      <w:rPr>
        <w:rFonts w:cs="Arial"/>
        <w:sz w:val="18"/>
        <w:szCs w:val="18"/>
      </w:rPr>
      <w:fldChar w:fldCharType="end"/>
    </w:r>
    <w:r>
      <w:rPr>
        <w:rFonts w:cs="Arial"/>
        <w:sz w:val="18"/>
        <w:szCs w:val="18"/>
      </w:rPr>
      <w:t xml:space="preserve"> - </w:t>
    </w:r>
    <w:r>
      <w:rPr>
        <w:rFonts w:cs="Arial"/>
        <w:sz w:val="18"/>
        <w:szCs w:val="18"/>
      </w:rPr>
      <w:tab/>
    </w:r>
    <w:r w:rsidR="00E337E7">
      <w:rPr>
        <w:rFonts w:cs="Arial"/>
        <w:sz w:val="18"/>
        <w:szCs w:val="18"/>
      </w:rPr>
      <w:t>Nov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6DE6" w14:textId="77777777" w:rsidR="00066901" w:rsidRDefault="00066901" w:rsidP="000E2669">
    <w:pPr>
      <w:pStyle w:val="Footer"/>
      <w:tabs>
        <w:tab w:val="clear" w:pos="4153"/>
        <w:tab w:val="clear" w:pos="8306"/>
        <w:tab w:val="center" w:pos="4440"/>
        <w:tab w:val="right" w:pos="9240"/>
      </w:tabs>
      <w:rPr>
        <w:rFonts w:cs="Arial"/>
        <w:sz w:val="18"/>
        <w:szCs w:val="18"/>
      </w:rPr>
    </w:pPr>
    <w:r>
      <w:rPr>
        <w:rFonts w:cs="Arial"/>
        <w:sz w:val="18"/>
        <w:szCs w:val="18"/>
      </w:rPr>
      <w:t>Standard Operating Procedure on Managing Policies, Procedures and Guidance Documents</w:t>
    </w:r>
  </w:p>
  <w:p w14:paraId="7EECC021" w14:textId="77777777" w:rsidR="00066901" w:rsidRPr="000E2669" w:rsidRDefault="00066901" w:rsidP="000E2669">
    <w:pPr>
      <w:pStyle w:val="Footer"/>
      <w:tabs>
        <w:tab w:val="clear" w:pos="4153"/>
        <w:tab w:val="clear" w:pos="8306"/>
        <w:tab w:val="center" w:pos="3828"/>
        <w:tab w:val="right" w:pos="8505"/>
        <w:tab w:val="left" w:pos="9639"/>
      </w:tabs>
      <w:rPr>
        <w:rFonts w:cs="Arial"/>
        <w:sz w:val="18"/>
        <w:szCs w:val="18"/>
      </w:rPr>
    </w:pPr>
    <w:r>
      <w:rPr>
        <w:rFonts w:cs="Arial"/>
        <w:sz w:val="18"/>
        <w:szCs w:val="18"/>
      </w:rPr>
      <w:t>V6</w:t>
    </w:r>
    <w:r>
      <w:rPr>
        <w:rFonts w:cs="Arial"/>
        <w:sz w:val="18"/>
        <w:szCs w:val="18"/>
      </w:rPr>
      <w:tab/>
      <w:t xml:space="preserv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9</w:t>
    </w:r>
    <w:r>
      <w:rPr>
        <w:rFonts w:cs="Arial"/>
        <w:sz w:val="18"/>
        <w:szCs w:val="18"/>
      </w:rPr>
      <w:fldChar w:fldCharType="end"/>
    </w:r>
    <w:r>
      <w:rPr>
        <w:rFonts w:cs="Arial"/>
        <w:sz w:val="18"/>
        <w:szCs w:val="18"/>
      </w:rPr>
      <w:t xml:space="preserve"> - </w:t>
    </w:r>
    <w:r>
      <w:rPr>
        <w:rFonts w:cs="Arial"/>
        <w:sz w:val="18"/>
        <w:szCs w:val="18"/>
      </w:rPr>
      <w:tab/>
      <w:t>February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C4F1" w14:textId="77777777" w:rsidR="003E59D8" w:rsidRDefault="003E59D8">
      <w:r>
        <w:separator/>
      </w:r>
    </w:p>
  </w:footnote>
  <w:footnote w:type="continuationSeparator" w:id="0">
    <w:p w14:paraId="261D5306" w14:textId="77777777" w:rsidR="003E59D8" w:rsidRDefault="003E5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EF1A" w14:textId="77777777" w:rsidR="00066901" w:rsidRDefault="00066901">
    <w:pPr>
      <w:pStyle w:val="Header"/>
    </w:pPr>
    <w:r>
      <w:rPr>
        <w:sz w:val="144"/>
        <w:szCs w:val="144"/>
      </w:rPr>
      <w:tab/>
    </w:r>
    <w:r>
      <w:rPr>
        <w:sz w:val="144"/>
        <w:szCs w:val="1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E1EF" w14:textId="77777777" w:rsidR="00066901" w:rsidRPr="000E2669" w:rsidRDefault="00066901">
    <w:pPr>
      <w:pStyle w:val="Header"/>
    </w:pPr>
    <w:r>
      <w:rPr>
        <w:sz w:val="144"/>
        <w:szCs w:val="144"/>
      </w:rPr>
      <w:tab/>
    </w:r>
    <w:r>
      <w:rPr>
        <w:sz w:val="144"/>
        <w:szCs w:val="1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193"/>
    <w:multiLevelType w:val="hybridMultilevel"/>
    <w:tmpl w:val="1788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C04E1"/>
    <w:multiLevelType w:val="multilevel"/>
    <w:tmpl w:val="F2844AC6"/>
    <w:lvl w:ilvl="0">
      <w:start w:val="1"/>
      <w:numFmt w:val="decimal"/>
      <w:pStyle w:val="Heading3"/>
      <w:lvlText w:val="%1."/>
      <w:lvlJc w:val="left"/>
      <w:pPr>
        <w:ind w:left="2062" w:hanging="360"/>
      </w:pPr>
    </w:lvl>
    <w:lvl w:ilvl="1">
      <w:start w:val="1"/>
      <w:numFmt w:val="decimal"/>
      <w:isLgl/>
      <w:lvlText w:val="%1.%2"/>
      <w:lvlJc w:val="left"/>
      <w:pPr>
        <w:ind w:left="1935" w:hanging="855"/>
      </w:pPr>
      <w:rPr>
        <w:rFonts w:hint="default"/>
        <w:b w:val="0"/>
      </w:rPr>
    </w:lvl>
    <w:lvl w:ilvl="2">
      <w:start w:val="1"/>
      <w:numFmt w:val="decimal"/>
      <w:isLgl/>
      <w:lvlText w:val="%1.%2.%3"/>
      <w:lvlJc w:val="left"/>
      <w:pPr>
        <w:ind w:left="1935" w:hanging="855"/>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6341B53"/>
    <w:multiLevelType w:val="hybridMultilevel"/>
    <w:tmpl w:val="EEF6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179A4"/>
    <w:multiLevelType w:val="hybridMultilevel"/>
    <w:tmpl w:val="AECE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05B2D"/>
    <w:multiLevelType w:val="hybridMultilevel"/>
    <w:tmpl w:val="2A5C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B6F34"/>
    <w:multiLevelType w:val="multilevel"/>
    <w:tmpl w:val="B336B374"/>
    <w:lvl w:ilvl="0">
      <w:start w:val="1"/>
      <w:numFmt w:val="decimal"/>
      <w:lvlText w:val="%1."/>
      <w:lvlJc w:val="left"/>
      <w:pPr>
        <w:tabs>
          <w:tab w:val="num" w:pos="501"/>
        </w:tabs>
        <w:ind w:left="501" w:hanging="360"/>
      </w:pPr>
      <w:rPr>
        <w:rFonts w:ascii="Arial" w:hAnsi="Arial" w:cs="Arial" w:hint="default"/>
        <w:b/>
      </w:rPr>
    </w:lvl>
    <w:lvl w:ilvl="1">
      <w:start w:val="1"/>
      <w:numFmt w:val="decimal"/>
      <w:isLgl/>
      <w:lvlText w:val="%1.%2"/>
      <w:lvlJc w:val="left"/>
      <w:pPr>
        <w:tabs>
          <w:tab w:val="num" w:pos="501"/>
        </w:tabs>
        <w:ind w:left="501" w:hanging="360"/>
      </w:pPr>
      <w:rPr>
        <w:rFonts w:hint="default"/>
        <w:i w:val="0"/>
      </w:rPr>
    </w:lvl>
    <w:lvl w:ilvl="2">
      <w:start w:val="1"/>
      <w:numFmt w:val="decimal"/>
      <w:isLgl/>
      <w:lvlText w:val="%1.%2.%3"/>
      <w:lvlJc w:val="left"/>
      <w:pPr>
        <w:tabs>
          <w:tab w:val="num" w:pos="861"/>
        </w:tabs>
        <w:ind w:left="861" w:hanging="720"/>
      </w:pPr>
      <w:rPr>
        <w:rFonts w:hint="default"/>
      </w:rPr>
    </w:lvl>
    <w:lvl w:ilvl="3">
      <w:start w:val="1"/>
      <w:numFmt w:val="decimal"/>
      <w:isLgl/>
      <w:lvlText w:val="%1.%2.%3.%4"/>
      <w:lvlJc w:val="left"/>
      <w:pPr>
        <w:tabs>
          <w:tab w:val="num" w:pos="1221"/>
        </w:tabs>
        <w:ind w:left="1221" w:hanging="1080"/>
      </w:pPr>
      <w:rPr>
        <w:rFonts w:hint="default"/>
      </w:rPr>
    </w:lvl>
    <w:lvl w:ilvl="4">
      <w:start w:val="1"/>
      <w:numFmt w:val="decimal"/>
      <w:isLgl/>
      <w:lvlText w:val="%1.%2.%3.%4.%5"/>
      <w:lvlJc w:val="left"/>
      <w:pPr>
        <w:tabs>
          <w:tab w:val="num" w:pos="1221"/>
        </w:tabs>
        <w:ind w:left="1221" w:hanging="1080"/>
      </w:pPr>
      <w:rPr>
        <w:rFonts w:hint="default"/>
      </w:rPr>
    </w:lvl>
    <w:lvl w:ilvl="5">
      <w:start w:val="1"/>
      <w:numFmt w:val="decimal"/>
      <w:isLgl/>
      <w:lvlText w:val="%1.%2.%3.%4.%5.%6"/>
      <w:lvlJc w:val="left"/>
      <w:pPr>
        <w:tabs>
          <w:tab w:val="num" w:pos="1581"/>
        </w:tabs>
        <w:ind w:left="1581" w:hanging="1440"/>
      </w:pPr>
      <w:rPr>
        <w:rFonts w:hint="default"/>
      </w:rPr>
    </w:lvl>
    <w:lvl w:ilvl="6">
      <w:start w:val="1"/>
      <w:numFmt w:val="decimal"/>
      <w:isLgl/>
      <w:lvlText w:val="%1.%2.%3.%4.%5.%6.%7"/>
      <w:lvlJc w:val="left"/>
      <w:pPr>
        <w:tabs>
          <w:tab w:val="num" w:pos="1581"/>
        </w:tabs>
        <w:ind w:left="1581" w:hanging="1440"/>
      </w:pPr>
      <w:rPr>
        <w:rFonts w:hint="default"/>
      </w:rPr>
    </w:lvl>
    <w:lvl w:ilvl="7">
      <w:start w:val="1"/>
      <w:numFmt w:val="decimal"/>
      <w:isLgl/>
      <w:lvlText w:val="%1.%2.%3.%4.%5.%6.%7.%8"/>
      <w:lvlJc w:val="left"/>
      <w:pPr>
        <w:tabs>
          <w:tab w:val="num" w:pos="1941"/>
        </w:tabs>
        <w:ind w:left="1941" w:hanging="1800"/>
      </w:pPr>
      <w:rPr>
        <w:rFonts w:hint="default"/>
      </w:rPr>
    </w:lvl>
    <w:lvl w:ilvl="8">
      <w:start w:val="1"/>
      <w:numFmt w:val="decimal"/>
      <w:isLgl/>
      <w:lvlText w:val="%1.%2.%3.%4.%5.%6.%7.%8.%9"/>
      <w:lvlJc w:val="left"/>
      <w:pPr>
        <w:tabs>
          <w:tab w:val="num" w:pos="1941"/>
        </w:tabs>
        <w:ind w:left="1941" w:hanging="1800"/>
      </w:pPr>
      <w:rPr>
        <w:rFonts w:hint="default"/>
      </w:rPr>
    </w:lvl>
  </w:abstractNum>
  <w:abstractNum w:abstractNumId="6" w15:restartNumberingAfterBreak="0">
    <w:nsid w:val="144C5684"/>
    <w:multiLevelType w:val="hybridMultilevel"/>
    <w:tmpl w:val="94E4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67DA"/>
    <w:multiLevelType w:val="hybridMultilevel"/>
    <w:tmpl w:val="ED14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C5856"/>
    <w:multiLevelType w:val="hybridMultilevel"/>
    <w:tmpl w:val="5C02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A7C0A"/>
    <w:multiLevelType w:val="hybridMultilevel"/>
    <w:tmpl w:val="9DD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2419D"/>
    <w:multiLevelType w:val="multilevel"/>
    <w:tmpl w:val="E7F64B72"/>
    <w:lvl w:ilvl="0">
      <w:start w:val="4"/>
      <w:numFmt w:val="decimal"/>
      <w:lvlText w:val="%1"/>
      <w:lvlJc w:val="left"/>
      <w:pPr>
        <w:ind w:left="360" w:hanging="360"/>
      </w:pPr>
      <w:rPr>
        <w:rFonts w:hint="default"/>
      </w:rPr>
    </w:lvl>
    <w:lvl w:ilvl="1">
      <w:start w:val="1"/>
      <w:numFmt w:val="decimal"/>
      <w:isLgl/>
      <w:lvlText w:val="%1.%2"/>
      <w:lvlJc w:val="left"/>
      <w:pPr>
        <w:ind w:left="141"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16C3444"/>
    <w:multiLevelType w:val="hybridMultilevel"/>
    <w:tmpl w:val="B7D62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71015"/>
    <w:multiLevelType w:val="hybridMultilevel"/>
    <w:tmpl w:val="3C3E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FB2971"/>
    <w:multiLevelType w:val="hybridMultilevel"/>
    <w:tmpl w:val="864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84534"/>
    <w:multiLevelType w:val="hybridMultilevel"/>
    <w:tmpl w:val="708AB862"/>
    <w:lvl w:ilvl="0" w:tplc="7D5A6B9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6F2DBA"/>
    <w:multiLevelType w:val="hybridMultilevel"/>
    <w:tmpl w:val="ACD85A52"/>
    <w:lvl w:ilvl="0" w:tplc="AABEA7B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DF14E0"/>
    <w:multiLevelType w:val="hybridMultilevel"/>
    <w:tmpl w:val="0392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C0DF4"/>
    <w:multiLevelType w:val="hybridMultilevel"/>
    <w:tmpl w:val="EDF4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01208"/>
    <w:multiLevelType w:val="hybridMultilevel"/>
    <w:tmpl w:val="E892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A7C99"/>
    <w:multiLevelType w:val="hybridMultilevel"/>
    <w:tmpl w:val="7C58D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941092"/>
    <w:multiLevelType w:val="hybridMultilevel"/>
    <w:tmpl w:val="5ABEA41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73D63B02"/>
    <w:multiLevelType w:val="hybridMultilevel"/>
    <w:tmpl w:val="1A48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507767">
    <w:abstractNumId w:val="5"/>
  </w:num>
  <w:num w:numId="2" w16cid:durableId="1008681666">
    <w:abstractNumId w:val="1"/>
  </w:num>
  <w:num w:numId="3" w16cid:durableId="1590308026">
    <w:abstractNumId w:val="10"/>
  </w:num>
  <w:num w:numId="4" w16cid:durableId="869491413">
    <w:abstractNumId w:val="3"/>
  </w:num>
  <w:num w:numId="5" w16cid:durableId="1538154203">
    <w:abstractNumId w:val="2"/>
  </w:num>
  <w:num w:numId="6" w16cid:durableId="1081485956">
    <w:abstractNumId w:val="4"/>
  </w:num>
  <w:num w:numId="7" w16cid:durableId="1497450962">
    <w:abstractNumId w:val="9"/>
  </w:num>
  <w:num w:numId="8" w16cid:durableId="1815026602">
    <w:abstractNumId w:val="20"/>
  </w:num>
  <w:num w:numId="9" w16cid:durableId="197394818">
    <w:abstractNumId w:val="8"/>
  </w:num>
  <w:num w:numId="10" w16cid:durableId="1710454754">
    <w:abstractNumId w:val="18"/>
  </w:num>
  <w:num w:numId="11" w16cid:durableId="715742953">
    <w:abstractNumId w:val="21"/>
  </w:num>
  <w:num w:numId="12" w16cid:durableId="1634141847">
    <w:abstractNumId w:val="7"/>
  </w:num>
  <w:num w:numId="13" w16cid:durableId="1206135745">
    <w:abstractNumId w:val="15"/>
  </w:num>
  <w:num w:numId="14" w16cid:durableId="1054621728">
    <w:abstractNumId w:val="14"/>
  </w:num>
  <w:num w:numId="15" w16cid:durableId="1686249604">
    <w:abstractNumId w:val="13"/>
  </w:num>
  <w:num w:numId="16" w16cid:durableId="793602215">
    <w:abstractNumId w:val="0"/>
  </w:num>
  <w:num w:numId="17" w16cid:durableId="699014082">
    <w:abstractNumId w:val="6"/>
  </w:num>
  <w:num w:numId="18" w16cid:durableId="455880309">
    <w:abstractNumId w:val="16"/>
  </w:num>
  <w:num w:numId="19" w16cid:durableId="1807431662">
    <w:abstractNumId w:val="19"/>
  </w:num>
  <w:num w:numId="20" w16cid:durableId="677268434">
    <w:abstractNumId w:val="12"/>
  </w:num>
  <w:num w:numId="21" w16cid:durableId="840388066">
    <w:abstractNumId w:val="11"/>
  </w:num>
  <w:num w:numId="22" w16cid:durableId="137896953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mirrorMargins/>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7E"/>
    <w:rsid w:val="0000157F"/>
    <w:rsid w:val="000027C9"/>
    <w:rsid w:val="00002DC4"/>
    <w:rsid w:val="00002E8C"/>
    <w:rsid w:val="000033F9"/>
    <w:rsid w:val="00005E56"/>
    <w:rsid w:val="00006888"/>
    <w:rsid w:val="0000734E"/>
    <w:rsid w:val="0001099E"/>
    <w:rsid w:val="00011D64"/>
    <w:rsid w:val="00012643"/>
    <w:rsid w:val="000127BC"/>
    <w:rsid w:val="00016B7A"/>
    <w:rsid w:val="00026C25"/>
    <w:rsid w:val="00034C94"/>
    <w:rsid w:val="00036861"/>
    <w:rsid w:val="00037102"/>
    <w:rsid w:val="000434E7"/>
    <w:rsid w:val="00053150"/>
    <w:rsid w:val="00055581"/>
    <w:rsid w:val="000624D7"/>
    <w:rsid w:val="00063697"/>
    <w:rsid w:val="00065330"/>
    <w:rsid w:val="00066901"/>
    <w:rsid w:val="0007165A"/>
    <w:rsid w:val="000748E5"/>
    <w:rsid w:val="00075B55"/>
    <w:rsid w:val="00080509"/>
    <w:rsid w:val="00082776"/>
    <w:rsid w:val="00083810"/>
    <w:rsid w:val="0008592C"/>
    <w:rsid w:val="00091EEE"/>
    <w:rsid w:val="00094B32"/>
    <w:rsid w:val="000965E9"/>
    <w:rsid w:val="000A39BB"/>
    <w:rsid w:val="000A465E"/>
    <w:rsid w:val="000A55AD"/>
    <w:rsid w:val="000B37F7"/>
    <w:rsid w:val="000C4D27"/>
    <w:rsid w:val="000C4D6E"/>
    <w:rsid w:val="000C5748"/>
    <w:rsid w:val="000C6229"/>
    <w:rsid w:val="000C6718"/>
    <w:rsid w:val="000D0D62"/>
    <w:rsid w:val="000D2564"/>
    <w:rsid w:val="000D3BEC"/>
    <w:rsid w:val="000E2669"/>
    <w:rsid w:val="000E2AEC"/>
    <w:rsid w:val="000E7A70"/>
    <w:rsid w:val="000F060F"/>
    <w:rsid w:val="000F2969"/>
    <w:rsid w:val="000F2EE2"/>
    <w:rsid w:val="000F7423"/>
    <w:rsid w:val="000F7AC4"/>
    <w:rsid w:val="00100146"/>
    <w:rsid w:val="001002EB"/>
    <w:rsid w:val="001005FC"/>
    <w:rsid w:val="00100A7C"/>
    <w:rsid w:val="00101E11"/>
    <w:rsid w:val="0010202E"/>
    <w:rsid w:val="0011078A"/>
    <w:rsid w:val="00112075"/>
    <w:rsid w:val="00114AA3"/>
    <w:rsid w:val="00115FAB"/>
    <w:rsid w:val="001175E3"/>
    <w:rsid w:val="00117648"/>
    <w:rsid w:val="0011772B"/>
    <w:rsid w:val="001210D3"/>
    <w:rsid w:val="00121B5D"/>
    <w:rsid w:val="00126877"/>
    <w:rsid w:val="00131B2D"/>
    <w:rsid w:val="00132087"/>
    <w:rsid w:val="001378ED"/>
    <w:rsid w:val="001413CD"/>
    <w:rsid w:val="001422D3"/>
    <w:rsid w:val="00142933"/>
    <w:rsid w:val="00142F26"/>
    <w:rsid w:val="00144398"/>
    <w:rsid w:val="00144EE5"/>
    <w:rsid w:val="00146F93"/>
    <w:rsid w:val="00151E15"/>
    <w:rsid w:val="001520EF"/>
    <w:rsid w:val="00153EB0"/>
    <w:rsid w:val="00154752"/>
    <w:rsid w:val="00160B59"/>
    <w:rsid w:val="001675F9"/>
    <w:rsid w:val="00171178"/>
    <w:rsid w:val="001722C0"/>
    <w:rsid w:val="0017361C"/>
    <w:rsid w:val="00174267"/>
    <w:rsid w:val="00175481"/>
    <w:rsid w:val="00176A11"/>
    <w:rsid w:val="0018041B"/>
    <w:rsid w:val="001835B2"/>
    <w:rsid w:val="001840BA"/>
    <w:rsid w:val="00184D72"/>
    <w:rsid w:val="00185651"/>
    <w:rsid w:val="001877D6"/>
    <w:rsid w:val="00191F3E"/>
    <w:rsid w:val="0019355F"/>
    <w:rsid w:val="001947AF"/>
    <w:rsid w:val="00195082"/>
    <w:rsid w:val="00197512"/>
    <w:rsid w:val="00197B14"/>
    <w:rsid w:val="001A0078"/>
    <w:rsid w:val="001A5E9E"/>
    <w:rsid w:val="001A7A2A"/>
    <w:rsid w:val="001B1EC3"/>
    <w:rsid w:val="001B2C88"/>
    <w:rsid w:val="001C03A0"/>
    <w:rsid w:val="001C28BC"/>
    <w:rsid w:val="001C4A23"/>
    <w:rsid w:val="001D1A47"/>
    <w:rsid w:val="001E21A0"/>
    <w:rsid w:val="001E439A"/>
    <w:rsid w:val="001E5E8C"/>
    <w:rsid w:val="001E6639"/>
    <w:rsid w:val="001E66E6"/>
    <w:rsid w:val="001E7506"/>
    <w:rsid w:val="001E761A"/>
    <w:rsid w:val="001E7E21"/>
    <w:rsid w:val="001F1F9E"/>
    <w:rsid w:val="001F66AC"/>
    <w:rsid w:val="002045D9"/>
    <w:rsid w:val="00205989"/>
    <w:rsid w:val="00206EB4"/>
    <w:rsid w:val="0020737D"/>
    <w:rsid w:val="00211231"/>
    <w:rsid w:val="00221553"/>
    <w:rsid w:val="00223227"/>
    <w:rsid w:val="00231980"/>
    <w:rsid w:val="00232802"/>
    <w:rsid w:val="002405B1"/>
    <w:rsid w:val="00241229"/>
    <w:rsid w:val="002413FD"/>
    <w:rsid w:val="00241F1E"/>
    <w:rsid w:val="002423F3"/>
    <w:rsid w:val="00243B4E"/>
    <w:rsid w:val="00244BD3"/>
    <w:rsid w:val="002460DE"/>
    <w:rsid w:val="00246432"/>
    <w:rsid w:val="0024683A"/>
    <w:rsid w:val="00247E4C"/>
    <w:rsid w:val="00255289"/>
    <w:rsid w:val="00262828"/>
    <w:rsid w:val="00263A02"/>
    <w:rsid w:val="00270C25"/>
    <w:rsid w:val="00274BA1"/>
    <w:rsid w:val="00275A99"/>
    <w:rsid w:val="002805E7"/>
    <w:rsid w:val="002805FA"/>
    <w:rsid w:val="0028104B"/>
    <w:rsid w:val="0028188F"/>
    <w:rsid w:val="00283EAF"/>
    <w:rsid w:val="0028428A"/>
    <w:rsid w:val="0028616A"/>
    <w:rsid w:val="00286C2C"/>
    <w:rsid w:val="00287080"/>
    <w:rsid w:val="0028723A"/>
    <w:rsid w:val="00287354"/>
    <w:rsid w:val="0029078B"/>
    <w:rsid w:val="00290ACC"/>
    <w:rsid w:val="002A07CE"/>
    <w:rsid w:val="002A2239"/>
    <w:rsid w:val="002A3BCA"/>
    <w:rsid w:val="002A737F"/>
    <w:rsid w:val="002B052C"/>
    <w:rsid w:val="002B2AA0"/>
    <w:rsid w:val="002B5013"/>
    <w:rsid w:val="002B6AE9"/>
    <w:rsid w:val="002C1B2A"/>
    <w:rsid w:val="002C2991"/>
    <w:rsid w:val="002C7BBA"/>
    <w:rsid w:val="002D5495"/>
    <w:rsid w:val="002D5F7D"/>
    <w:rsid w:val="002D7604"/>
    <w:rsid w:val="002E3985"/>
    <w:rsid w:val="002E50E4"/>
    <w:rsid w:val="002E5803"/>
    <w:rsid w:val="002F1D8E"/>
    <w:rsid w:val="002F1DF0"/>
    <w:rsid w:val="00301F93"/>
    <w:rsid w:val="00302F51"/>
    <w:rsid w:val="00303A8B"/>
    <w:rsid w:val="00310495"/>
    <w:rsid w:val="00312ED9"/>
    <w:rsid w:val="003147E3"/>
    <w:rsid w:val="00316184"/>
    <w:rsid w:val="003161D2"/>
    <w:rsid w:val="00316FFA"/>
    <w:rsid w:val="003325B4"/>
    <w:rsid w:val="003330C0"/>
    <w:rsid w:val="00333F62"/>
    <w:rsid w:val="00334E70"/>
    <w:rsid w:val="00334FD7"/>
    <w:rsid w:val="0034068F"/>
    <w:rsid w:val="00342020"/>
    <w:rsid w:val="00342746"/>
    <w:rsid w:val="0035345D"/>
    <w:rsid w:val="00355D07"/>
    <w:rsid w:val="00355E0A"/>
    <w:rsid w:val="003578F5"/>
    <w:rsid w:val="00361208"/>
    <w:rsid w:val="00364407"/>
    <w:rsid w:val="00366459"/>
    <w:rsid w:val="00370F5D"/>
    <w:rsid w:val="003766BC"/>
    <w:rsid w:val="00392E81"/>
    <w:rsid w:val="003A203C"/>
    <w:rsid w:val="003A60E3"/>
    <w:rsid w:val="003B20ED"/>
    <w:rsid w:val="003B52C0"/>
    <w:rsid w:val="003B72A2"/>
    <w:rsid w:val="003C1C79"/>
    <w:rsid w:val="003C3863"/>
    <w:rsid w:val="003C43A5"/>
    <w:rsid w:val="003C4F39"/>
    <w:rsid w:val="003C64C3"/>
    <w:rsid w:val="003C6B52"/>
    <w:rsid w:val="003C7A81"/>
    <w:rsid w:val="003D46EE"/>
    <w:rsid w:val="003D5947"/>
    <w:rsid w:val="003D618D"/>
    <w:rsid w:val="003D7B4D"/>
    <w:rsid w:val="003E19A7"/>
    <w:rsid w:val="003E4267"/>
    <w:rsid w:val="003E54E7"/>
    <w:rsid w:val="003E59D8"/>
    <w:rsid w:val="003E6219"/>
    <w:rsid w:val="003E7E59"/>
    <w:rsid w:val="003F15EE"/>
    <w:rsid w:val="003F1DEA"/>
    <w:rsid w:val="003F2436"/>
    <w:rsid w:val="003F25B1"/>
    <w:rsid w:val="003F6A9A"/>
    <w:rsid w:val="00403152"/>
    <w:rsid w:val="0040429D"/>
    <w:rsid w:val="00405E84"/>
    <w:rsid w:val="00407811"/>
    <w:rsid w:val="004116A5"/>
    <w:rsid w:val="0041190E"/>
    <w:rsid w:val="00420F97"/>
    <w:rsid w:val="00425FA9"/>
    <w:rsid w:val="00433C2A"/>
    <w:rsid w:val="00440C9B"/>
    <w:rsid w:val="00443FA2"/>
    <w:rsid w:val="004511D7"/>
    <w:rsid w:val="00451327"/>
    <w:rsid w:val="00455CB4"/>
    <w:rsid w:val="0045708B"/>
    <w:rsid w:val="00462801"/>
    <w:rsid w:val="004643AD"/>
    <w:rsid w:val="004649F0"/>
    <w:rsid w:val="004654D6"/>
    <w:rsid w:val="00465929"/>
    <w:rsid w:val="0046648F"/>
    <w:rsid w:val="00470185"/>
    <w:rsid w:val="00470677"/>
    <w:rsid w:val="00474DB2"/>
    <w:rsid w:val="00481613"/>
    <w:rsid w:val="00484ACE"/>
    <w:rsid w:val="00485194"/>
    <w:rsid w:val="00487930"/>
    <w:rsid w:val="00491C36"/>
    <w:rsid w:val="004A0722"/>
    <w:rsid w:val="004B3279"/>
    <w:rsid w:val="004B4B8C"/>
    <w:rsid w:val="004B5DF7"/>
    <w:rsid w:val="004B7D2C"/>
    <w:rsid w:val="004C216D"/>
    <w:rsid w:val="004C26D6"/>
    <w:rsid w:val="004C28DD"/>
    <w:rsid w:val="004C2BB7"/>
    <w:rsid w:val="004C674A"/>
    <w:rsid w:val="004D3937"/>
    <w:rsid w:val="004E0F17"/>
    <w:rsid w:val="004E4941"/>
    <w:rsid w:val="004F012C"/>
    <w:rsid w:val="004F1A7A"/>
    <w:rsid w:val="004F2350"/>
    <w:rsid w:val="004F25B5"/>
    <w:rsid w:val="004F432C"/>
    <w:rsid w:val="004F4B90"/>
    <w:rsid w:val="005040D9"/>
    <w:rsid w:val="00513104"/>
    <w:rsid w:val="00514FEB"/>
    <w:rsid w:val="00517C62"/>
    <w:rsid w:val="00525E45"/>
    <w:rsid w:val="00526E90"/>
    <w:rsid w:val="0053053C"/>
    <w:rsid w:val="00531571"/>
    <w:rsid w:val="00534012"/>
    <w:rsid w:val="005358DB"/>
    <w:rsid w:val="00536EE4"/>
    <w:rsid w:val="00542504"/>
    <w:rsid w:val="00543C98"/>
    <w:rsid w:val="00545A20"/>
    <w:rsid w:val="00546E47"/>
    <w:rsid w:val="00547CD0"/>
    <w:rsid w:val="00547DD8"/>
    <w:rsid w:val="00551503"/>
    <w:rsid w:val="00553E27"/>
    <w:rsid w:val="00554D5C"/>
    <w:rsid w:val="00562555"/>
    <w:rsid w:val="00563593"/>
    <w:rsid w:val="005636E8"/>
    <w:rsid w:val="005701EB"/>
    <w:rsid w:val="0057185B"/>
    <w:rsid w:val="00572C42"/>
    <w:rsid w:val="0057363A"/>
    <w:rsid w:val="005738BE"/>
    <w:rsid w:val="00574CE9"/>
    <w:rsid w:val="0057707F"/>
    <w:rsid w:val="005806E7"/>
    <w:rsid w:val="00580DB8"/>
    <w:rsid w:val="00582603"/>
    <w:rsid w:val="005832EC"/>
    <w:rsid w:val="00583302"/>
    <w:rsid w:val="0059124F"/>
    <w:rsid w:val="00591A01"/>
    <w:rsid w:val="005934C6"/>
    <w:rsid w:val="00593E52"/>
    <w:rsid w:val="00593F1B"/>
    <w:rsid w:val="005A07CF"/>
    <w:rsid w:val="005A485B"/>
    <w:rsid w:val="005B172D"/>
    <w:rsid w:val="005B3FE7"/>
    <w:rsid w:val="005C52B1"/>
    <w:rsid w:val="005C6B49"/>
    <w:rsid w:val="005D3FED"/>
    <w:rsid w:val="005D47D4"/>
    <w:rsid w:val="005D6CF4"/>
    <w:rsid w:val="005E1186"/>
    <w:rsid w:val="005E3317"/>
    <w:rsid w:val="005E4477"/>
    <w:rsid w:val="005E4E28"/>
    <w:rsid w:val="005F4106"/>
    <w:rsid w:val="005F42FD"/>
    <w:rsid w:val="005F6E23"/>
    <w:rsid w:val="005F7356"/>
    <w:rsid w:val="00602C13"/>
    <w:rsid w:val="00603EF7"/>
    <w:rsid w:val="00605F42"/>
    <w:rsid w:val="0061205C"/>
    <w:rsid w:val="00612368"/>
    <w:rsid w:val="00612F5C"/>
    <w:rsid w:val="00613DFE"/>
    <w:rsid w:val="00614632"/>
    <w:rsid w:val="00614A0A"/>
    <w:rsid w:val="00614D5F"/>
    <w:rsid w:val="00617A78"/>
    <w:rsid w:val="00617DD7"/>
    <w:rsid w:val="00620646"/>
    <w:rsid w:val="00621F22"/>
    <w:rsid w:val="006236A3"/>
    <w:rsid w:val="00624432"/>
    <w:rsid w:val="00630C0D"/>
    <w:rsid w:val="00632036"/>
    <w:rsid w:val="006323C2"/>
    <w:rsid w:val="00632AB8"/>
    <w:rsid w:val="006345B9"/>
    <w:rsid w:val="006371F6"/>
    <w:rsid w:val="0064013D"/>
    <w:rsid w:val="006448DA"/>
    <w:rsid w:val="00647358"/>
    <w:rsid w:val="006501EA"/>
    <w:rsid w:val="0065112C"/>
    <w:rsid w:val="00652EC7"/>
    <w:rsid w:val="00655C0F"/>
    <w:rsid w:val="00655D89"/>
    <w:rsid w:val="00655FA6"/>
    <w:rsid w:val="00657F3B"/>
    <w:rsid w:val="006616E5"/>
    <w:rsid w:val="00663AC7"/>
    <w:rsid w:val="00665426"/>
    <w:rsid w:val="00667EA6"/>
    <w:rsid w:val="006723E3"/>
    <w:rsid w:val="00673593"/>
    <w:rsid w:val="00674B3C"/>
    <w:rsid w:val="006761DA"/>
    <w:rsid w:val="0067700A"/>
    <w:rsid w:val="00677EE5"/>
    <w:rsid w:val="006836D6"/>
    <w:rsid w:val="00685ADE"/>
    <w:rsid w:val="00686918"/>
    <w:rsid w:val="00690474"/>
    <w:rsid w:val="00691474"/>
    <w:rsid w:val="006933F1"/>
    <w:rsid w:val="00697CE9"/>
    <w:rsid w:val="006A11CC"/>
    <w:rsid w:val="006A12DD"/>
    <w:rsid w:val="006A260C"/>
    <w:rsid w:val="006A4743"/>
    <w:rsid w:val="006A6697"/>
    <w:rsid w:val="006B0202"/>
    <w:rsid w:val="006B0AAF"/>
    <w:rsid w:val="006B265D"/>
    <w:rsid w:val="006B313B"/>
    <w:rsid w:val="006B537A"/>
    <w:rsid w:val="006B7B9D"/>
    <w:rsid w:val="006C28A3"/>
    <w:rsid w:val="006C4DF1"/>
    <w:rsid w:val="006C56B8"/>
    <w:rsid w:val="006C5D70"/>
    <w:rsid w:val="006D1EB9"/>
    <w:rsid w:val="006D3202"/>
    <w:rsid w:val="006E0807"/>
    <w:rsid w:val="006E36A1"/>
    <w:rsid w:val="006E36DA"/>
    <w:rsid w:val="006E4B4C"/>
    <w:rsid w:val="006E5604"/>
    <w:rsid w:val="006E57AF"/>
    <w:rsid w:val="006F2121"/>
    <w:rsid w:val="006F2885"/>
    <w:rsid w:val="0070088E"/>
    <w:rsid w:val="00700C35"/>
    <w:rsid w:val="00703DBD"/>
    <w:rsid w:val="00711523"/>
    <w:rsid w:val="0071168B"/>
    <w:rsid w:val="007160D1"/>
    <w:rsid w:val="007202C6"/>
    <w:rsid w:val="00721BC6"/>
    <w:rsid w:val="007242BA"/>
    <w:rsid w:val="00724640"/>
    <w:rsid w:val="00725BEA"/>
    <w:rsid w:val="007305F6"/>
    <w:rsid w:val="00734388"/>
    <w:rsid w:val="007349F7"/>
    <w:rsid w:val="00734E0E"/>
    <w:rsid w:val="00745A08"/>
    <w:rsid w:val="00755618"/>
    <w:rsid w:val="0075682E"/>
    <w:rsid w:val="00757268"/>
    <w:rsid w:val="0075746A"/>
    <w:rsid w:val="00757624"/>
    <w:rsid w:val="00760761"/>
    <w:rsid w:val="00760E18"/>
    <w:rsid w:val="007614D6"/>
    <w:rsid w:val="00766C4B"/>
    <w:rsid w:val="00771238"/>
    <w:rsid w:val="00771971"/>
    <w:rsid w:val="007750AA"/>
    <w:rsid w:val="00777E5D"/>
    <w:rsid w:val="00783CF6"/>
    <w:rsid w:val="00790AFA"/>
    <w:rsid w:val="00793473"/>
    <w:rsid w:val="00794C71"/>
    <w:rsid w:val="007A0806"/>
    <w:rsid w:val="007A1487"/>
    <w:rsid w:val="007A2172"/>
    <w:rsid w:val="007A3C16"/>
    <w:rsid w:val="007A4633"/>
    <w:rsid w:val="007B1018"/>
    <w:rsid w:val="007B1A9F"/>
    <w:rsid w:val="007B306B"/>
    <w:rsid w:val="007B3437"/>
    <w:rsid w:val="007B70E4"/>
    <w:rsid w:val="007C48E6"/>
    <w:rsid w:val="007C76BC"/>
    <w:rsid w:val="007E41A3"/>
    <w:rsid w:val="007E4AAF"/>
    <w:rsid w:val="007E5650"/>
    <w:rsid w:val="007F295E"/>
    <w:rsid w:val="007F58AC"/>
    <w:rsid w:val="007F6DA6"/>
    <w:rsid w:val="007F7D86"/>
    <w:rsid w:val="008028CF"/>
    <w:rsid w:val="00805164"/>
    <w:rsid w:val="00805CF3"/>
    <w:rsid w:val="00807952"/>
    <w:rsid w:val="00811F85"/>
    <w:rsid w:val="008170F3"/>
    <w:rsid w:val="00822329"/>
    <w:rsid w:val="00825F8A"/>
    <w:rsid w:val="008260F6"/>
    <w:rsid w:val="00842E85"/>
    <w:rsid w:val="0084525D"/>
    <w:rsid w:val="008477A9"/>
    <w:rsid w:val="008534E3"/>
    <w:rsid w:val="0086180F"/>
    <w:rsid w:val="0086376D"/>
    <w:rsid w:val="008666C1"/>
    <w:rsid w:val="0086690E"/>
    <w:rsid w:val="00867600"/>
    <w:rsid w:val="00871F85"/>
    <w:rsid w:val="0087588D"/>
    <w:rsid w:val="00875F2F"/>
    <w:rsid w:val="008818B8"/>
    <w:rsid w:val="00887EA7"/>
    <w:rsid w:val="00894EA7"/>
    <w:rsid w:val="00895F09"/>
    <w:rsid w:val="00897B2C"/>
    <w:rsid w:val="008A3A71"/>
    <w:rsid w:val="008A43F5"/>
    <w:rsid w:val="008A4BF9"/>
    <w:rsid w:val="008A4CDD"/>
    <w:rsid w:val="008A5203"/>
    <w:rsid w:val="008A584F"/>
    <w:rsid w:val="008A7874"/>
    <w:rsid w:val="008B1E3E"/>
    <w:rsid w:val="008B583D"/>
    <w:rsid w:val="008B621A"/>
    <w:rsid w:val="008C1272"/>
    <w:rsid w:val="008C2F50"/>
    <w:rsid w:val="008C5371"/>
    <w:rsid w:val="008C5CC3"/>
    <w:rsid w:val="008C6EC6"/>
    <w:rsid w:val="008C75ED"/>
    <w:rsid w:val="008D3C45"/>
    <w:rsid w:val="008D43D4"/>
    <w:rsid w:val="008D5146"/>
    <w:rsid w:val="008E12BC"/>
    <w:rsid w:val="008E292B"/>
    <w:rsid w:val="008E48EE"/>
    <w:rsid w:val="008E736F"/>
    <w:rsid w:val="008F31A7"/>
    <w:rsid w:val="008F366E"/>
    <w:rsid w:val="008F4E21"/>
    <w:rsid w:val="008F6248"/>
    <w:rsid w:val="00902D25"/>
    <w:rsid w:val="009030CC"/>
    <w:rsid w:val="00903A7A"/>
    <w:rsid w:val="00904690"/>
    <w:rsid w:val="0090705E"/>
    <w:rsid w:val="00910CEE"/>
    <w:rsid w:val="0091434F"/>
    <w:rsid w:val="00915677"/>
    <w:rsid w:val="009208C9"/>
    <w:rsid w:val="009219CC"/>
    <w:rsid w:val="00923CB8"/>
    <w:rsid w:val="009262C7"/>
    <w:rsid w:val="0092726D"/>
    <w:rsid w:val="00931C17"/>
    <w:rsid w:val="00933FC7"/>
    <w:rsid w:val="00934E7F"/>
    <w:rsid w:val="00936888"/>
    <w:rsid w:val="00936C88"/>
    <w:rsid w:val="00942C0A"/>
    <w:rsid w:val="0094305E"/>
    <w:rsid w:val="009434E5"/>
    <w:rsid w:val="009445E1"/>
    <w:rsid w:val="009446D4"/>
    <w:rsid w:val="00944AEA"/>
    <w:rsid w:val="00944D1B"/>
    <w:rsid w:val="00945684"/>
    <w:rsid w:val="00951412"/>
    <w:rsid w:val="0095214B"/>
    <w:rsid w:val="009526E3"/>
    <w:rsid w:val="009533D2"/>
    <w:rsid w:val="00955DA3"/>
    <w:rsid w:val="009560B3"/>
    <w:rsid w:val="00957DA6"/>
    <w:rsid w:val="00960412"/>
    <w:rsid w:val="00971849"/>
    <w:rsid w:val="009725CC"/>
    <w:rsid w:val="009761B9"/>
    <w:rsid w:val="00977863"/>
    <w:rsid w:val="0098073F"/>
    <w:rsid w:val="0098175E"/>
    <w:rsid w:val="00981C6B"/>
    <w:rsid w:val="00987C56"/>
    <w:rsid w:val="00987D83"/>
    <w:rsid w:val="00990CAD"/>
    <w:rsid w:val="00992331"/>
    <w:rsid w:val="0099247B"/>
    <w:rsid w:val="00993148"/>
    <w:rsid w:val="009946C0"/>
    <w:rsid w:val="009A0A78"/>
    <w:rsid w:val="009A15E1"/>
    <w:rsid w:val="009A3F61"/>
    <w:rsid w:val="009A4759"/>
    <w:rsid w:val="009A4CD9"/>
    <w:rsid w:val="009A5A5D"/>
    <w:rsid w:val="009A5DA1"/>
    <w:rsid w:val="009A65B0"/>
    <w:rsid w:val="009A76E1"/>
    <w:rsid w:val="009B0FB6"/>
    <w:rsid w:val="009B434A"/>
    <w:rsid w:val="009B714D"/>
    <w:rsid w:val="009C05A4"/>
    <w:rsid w:val="009C3CCD"/>
    <w:rsid w:val="009C44FD"/>
    <w:rsid w:val="009C48EC"/>
    <w:rsid w:val="009D260F"/>
    <w:rsid w:val="009D26F6"/>
    <w:rsid w:val="009D2A77"/>
    <w:rsid w:val="009D3C52"/>
    <w:rsid w:val="009D40E9"/>
    <w:rsid w:val="009D4745"/>
    <w:rsid w:val="009D4CDE"/>
    <w:rsid w:val="009D5519"/>
    <w:rsid w:val="009D65A1"/>
    <w:rsid w:val="009E1EAE"/>
    <w:rsid w:val="009E2309"/>
    <w:rsid w:val="009E2605"/>
    <w:rsid w:val="009E47AC"/>
    <w:rsid w:val="009E5784"/>
    <w:rsid w:val="009E582C"/>
    <w:rsid w:val="009F3BEE"/>
    <w:rsid w:val="009F4978"/>
    <w:rsid w:val="009F52C4"/>
    <w:rsid w:val="009F6C98"/>
    <w:rsid w:val="009F7567"/>
    <w:rsid w:val="00A00A5E"/>
    <w:rsid w:val="00A00E73"/>
    <w:rsid w:val="00A0149B"/>
    <w:rsid w:val="00A0196E"/>
    <w:rsid w:val="00A04A3C"/>
    <w:rsid w:val="00A05921"/>
    <w:rsid w:val="00A074F5"/>
    <w:rsid w:val="00A07F45"/>
    <w:rsid w:val="00A11757"/>
    <w:rsid w:val="00A129AC"/>
    <w:rsid w:val="00A14427"/>
    <w:rsid w:val="00A15414"/>
    <w:rsid w:val="00A24454"/>
    <w:rsid w:val="00A24B22"/>
    <w:rsid w:val="00A24E44"/>
    <w:rsid w:val="00A25832"/>
    <w:rsid w:val="00A32E2C"/>
    <w:rsid w:val="00A34778"/>
    <w:rsid w:val="00A36524"/>
    <w:rsid w:val="00A368A3"/>
    <w:rsid w:val="00A40E51"/>
    <w:rsid w:val="00A41A82"/>
    <w:rsid w:val="00A43230"/>
    <w:rsid w:val="00A45339"/>
    <w:rsid w:val="00A53F25"/>
    <w:rsid w:val="00A54973"/>
    <w:rsid w:val="00A54F8B"/>
    <w:rsid w:val="00A570B8"/>
    <w:rsid w:val="00A608C1"/>
    <w:rsid w:val="00A61C6C"/>
    <w:rsid w:val="00A61F21"/>
    <w:rsid w:val="00A629B4"/>
    <w:rsid w:val="00A65B0A"/>
    <w:rsid w:val="00A7294F"/>
    <w:rsid w:val="00A72BDE"/>
    <w:rsid w:val="00A74415"/>
    <w:rsid w:val="00A7544B"/>
    <w:rsid w:val="00A75640"/>
    <w:rsid w:val="00A7755A"/>
    <w:rsid w:val="00A77734"/>
    <w:rsid w:val="00A82E97"/>
    <w:rsid w:val="00A837AC"/>
    <w:rsid w:val="00A848FD"/>
    <w:rsid w:val="00A84C7F"/>
    <w:rsid w:val="00A86B15"/>
    <w:rsid w:val="00A91762"/>
    <w:rsid w:val="00A946D3"/>
    <w:rsid w:val="00A97170"/>
    <w:rsid w:val="00A9721C"/>
    <w:rsid w:val="00AA5AF2"/>
    <w:rsid w:val="00AB06E6"/>
    <w:rsid w:val="00AB2B86"/>
    <w:rsid w:val="00AC02E8"/>
    <w:rsid w:val="00AC30B6"/>
    <w:rsid w:val="00AC3CBC"/>
    <w:rsid w:val="00AC4384"/>
    <w:rsid w:val="00AC4DDD"/>
    <w:rsid w:val="00AC5108"/>
    <w:rsid w:val="00AC61A1"/>
    <w:rsid w:val="00AD1C7A"/>
    <w:rsid w:val="00AD38BC"/>
    <w:rsid w:val="00AD40DC"/>
    <w:rsid w:val="00AE00C3"/>
    <w:rsid w:val="00AE21FA"/>
    <w:rsid w:val="00AE6FE4"/>
    <w:rsid w:val="00AE70F6"/>
    <w:rsid w:val="00AF1CEF"/>
    <w:rsid w:val="00AF233D"/>
    <w:rsid w:val="00AF755C"/>
    <w:rsid w:val="00B02579"/>
    <w:rsid w:val="00B05C33"/>
    <w:rsid w:val="00B078AD"/>
    <w:rsid w:val="00B079D5"/>
    <w:rsid w:val="00B128E3"/>
    <w:rsid w:val="00B17B78"/>
    <w:rsid w:val="00B20194"/>
    <w:rsid w:val="00B20731"/>
    <w:rsid w:val="00B219AC"/>
    <w:rsid w:val="00B21B27"/>
    <w:rsid w:val="00B21F43"/>
    <w:rsid w:val="00B23CA6"/>
    <w:rsid w:val="00B27FF2"/>
    <w:rsid w:val="00B30176"/>
    <w:rsid w:val="00B32420"/>
    <w:rsid w:val="00B36CAF"/>
    <w:rsid w:val="00B417DD"/>
    <w:rsid w:val="00B43822"/>
    <w:rsid w:val="00B43C61"/>
    <w:rsid w:val="00B43EAB"/>
    <w:rsid w:val="00B43F84"/>
    <w:rsid w:val="00B45702"/>
    <w:rsid w:val="00B5076B"/>
    <w:rsid w:val="00B51AB7"/>
    <w:rsid w:val="00B552D9"/>
    <w:rsid w:val="00B56AF9"/>
    <w:rsid w:val="00B57076"/>
    <w:rsid w:val="00B57156"/>
    <w:rsid w:val="00B61099"/>
    <w:rsid w:val="00B61D70"/>
    <w:rsid w:val="00B6272E"/>
    <w:rsid w:val="00B70554"/>
    <w:rsid w:val="00B724DF"/>
    <w:rsid w:val="00B725A0"/>
    <w:rsid w:val="00B731C6"/>
    <w:rsid w:val="00B736C9"/>
    <w:rsid w:val="00B771BE"/>
    <w:rsid w:val="00B8239F"/>
    <w:rsid w:val="00B8504A"/>
    <w:rsid w:val="00B87D3B"/>
    <w:rsid w:val="00B90390"/>
    <w:rsid w:val="00B935FA"/>
    <w:rsid w:val="00B96309"/>
    <w:rsid w:val="00BA050E"/>
    <w:rsid w:val="00BB2AC3"/>
    <w:rsid w:val="00BB61D7"/>
    <w:rsid w:val="00BC0739"/>
    <w:rsid w:val="00BC0AA9"/>
    <w:rsid w:val="00BC0ED6"/>
    <w:rsid w:val="00BC1295"/>
    <w:rsid w:val="00BC196F"/>
    <w:rsid w:val="00BC27F5"/>
    <w:rsid w:val="00BC5009"/>
    <w:rsid w:val="00BC5C4D"/>
    <w:rsid w:val="00BC7CEA"/>
    <w:rsid w:val="00BD4369"/>
    <w:rsid w:val="00BD5C25"/>
    <w:rsid w:val="00BD7DE7"/>
    <w:rsid w:val="00BE2B51"/>
    <w:rsid w:val="00BE4603"/>
    <w:rsid w:val="00BE4C95"/>
    <w:rsid w:val="00BE5065"/>
    <w:rsid w:val="00BE7B97"/>
    <w:rsid w:val="00BF285B"/>
    <w:rsid w:val="00BF4512"/>
    <w:rsid w:val="00BF5028"/>
    <w:rsid w:val="00BF5E82"/>
    <w:rsid w:val="00C00192"/>
    <w:rsid w:val="00C03629"/>
    <w:rsid w:val="00C03AAF"/>
    <w:rsid w:val="00C05441"/>
    <w:rsid w:val="00C065C9"/>
    <w:rsid w:val="00C11944"/>
    <w:rsid w:val="00C136E8"/>
    <w:rsid w:val="00C16517"/>
    <w:rsid w:val="00C240A6"/>
    <w:rsid w:val="00C24826"/>
    <w:rsid w:val="00C30FEB"/>
    <w:rsid w:val="00C315F0"/>
    <w:rsid w:val="00C31EBE"/>
    <w:rsid w:val="00C36753"/>
    <w:rsid w:val="00C40883"/>
    <w:rsid w:val="00C41211"/>
    <w:rsid w:val="00C4139B"/>
    <w:rsid w:val="00C42B55"/>
    <w:rsid w:val="00C51B7D"/>
    <w:rsid w:val="00C551A6"/>
    <w:rsid w:val="00C55322"/>
    <w:rsid w:val="00C56271"/>
    <w:rsid w:val="00C61BA3"/>
    <w:rsid w:val="00C664A6"/>
    <w:rsid w:val="00C67069"/>
    <w:rsid w:val="00C7056F"/>
    <w:rsid w:val="00C72A1B"/>
    <w:rsid w:val="00C7375C"/>
    <w:rsid w:val="00C74AF5"/>
    <w:rsid w:val="00C75418"/>
    <w:rsid w:val="00C7691A"/>
    <w:rsid w:val="00C771F0"/>
    <w:rsid w:val="00C818A4"/>
    <w:rsid w:val="00C84B59"/>
    <w:rsid w:val="00C90F50"/>
    <w:rsid w:val="00C911E6"/>
    <w:rsid w:val="00C93AD3"/>
    <w:rsid w:val="00CA1911"/>
    <w:rsid w:val="00CA35C4"/>
    <w:rsid w:val="00CA36FB"/>
    <w:rsid w:val="00CB0F75"/>
    <w:rsid w:val="00CB24CB"/>
    <w:rsid w:val="00CB453D"/>
    <w:rsid w:val="00CB4E02"/>
    <w:rsid w:val="00CB5388"/>
    <w:rsid w:val="00CB760C"/>
    <w:rsid w:val="00CC1556"/>
    <w:rsid w:val="00CC3D56"/>
    <w:rsid w:val="00CC49A1"/>
    <w:rsid w:val="00CC7865"/>
    <w:rsid w:val="00CC7DD0"/>
    <w:rsid w:val="00CC7E67"/>
    <w:rsid w:val="00CD022A"/>
    <w:rsid w:val="00CD29B0"/>
    <w:rsid w:val="00CD6B1D"/>
    <w:rsid w:val="00CE0F98"/>
    <w:rsid w:val="00CE3722"/>
    <w:rsid w:val="00CE5AB0"/>
    <w:rsid w:val="00CE5F65"/>
    <w:rsid w:val="00CE758B"/>
    <w:rsid w:val="00CF187B"/>
    <w:rsid w:val="00CF1932"/>
    <w:rsid w:val="00CF39E3"/>
    <w:rsid w:val="00CF44E7"/>
    <w:rsid w:val="00CF4FBA"/>
    <w:rsid w:val="00D020C5"/>
    <w:rsid w:val="00D071CF"/>
    <w:rsid w:val="00D11A29"/>
    <w:rsid w:val="00D17B19"/>
    <w:rsid w:val="00D244C4"/>
    <w:rsid w:val="00D251A0"/>
    <w:rsid w:val="00D26BDD"/>
    <w:rsid w:val="00D2725A"/>
    <w:rsid w:val="00D31308"/>
    <w:rsid w:val="00D31CDF"/>
    <w:rsid w:val="00D411BB"/>
    <w:rsid w:val="00D43E26"/>
    <w:rsid w:val="00D464F2"/>
    <w:rsid w:val="00D478B0"/>
    <w:rsid w:val="00D51B4C"/>
    <w:rsid w:val="00D52784"/>
    <w:rsid w:val="00D540DA"/>
    <w:rsid w:val="00D55AE4"/>
    <w:rsid w:val="00D56136"/>
    <w:rsid w:val="00D56272"/>
    <w:rsid w:val="00D57497"/>
    <w:rsid w:val="00D57F62"/>
    <w:rsid w:val="00D62425"/>
    <w:rsid w:val="00D65EED"/>
    <w:rsid w:val="00D6670D"/>
    <w:rsid w:val="00D66E77"/>
    <w:rsid w:val="00D71D29"/>
    <w:rsid w:val="00D72784"/>
    <w:rsid w:val="00D72859"/>
    <w:rsid w:val="00D73432"/>
    <w:rsid w:val="00D73D97"/>
    <w:rsid w:val="00D75242"/>
    <w:rsid w:val="00D769FA"/>
    <w:rsid w:val="00D80FB1"/>
    <w:rsid w:val="00D81B2E"/>
    <w:rsid w:val="00D8239F"/>
    <w:rsid w:val="00D83310"/>
    <w:rsid w:val="00D84E29"/>
    <w:rsid w:val="00D84FAF"/>
    <w:rsid w:val="00D85321"/>
    <w:rsid w:val="00D8658D"/>
    <w:rsid w:val="00D87BA7"/>
    <w:rsid w:val="00D93999"/>
    <w:rsid w:val="00D93AD0"/>
    <w:rsid w:val="00D96726"/>
    <w:rsid w:val="00DA13BD"/>
    <w:rsid w:val="00DB0031"/>
    <w:rsid w:val="00DB1E98"/>
    <w:rsid w:val="00DB2206"/>
    <w:rsid w:val="00DB2599"/>
    <w:rsid w:val="00DB4729"/>
    <w:rsid w:val="00DB69CF"/>
    <w:rsid w:val="00DB7A8A"/>
    <w:rsid w:val="00DC0CF3"/>
    <w:rsid w:val="00DC2DA4"/>
    <w:rsid w:val="00DC5A17"/>
    <w:rsid w:val="00DC6C3A"/>
    <w:rsid w:val="00DD0A65"/>
    <w:rsid w:val="00DD3F10"/>
    <w:rsid w:val="00DD61FE"/>
    <w:rsid w:val="00DE0C5F"/>
    <w:rsid w:val="00DF1855"/>
    <w:rsid w:val="00DF22BA"/>
    <w:rsid w:val="00DF294C"/>
    <w:rsid w:val="00DF5DC8"/>
    <w:rsid w:val="00DF6D54"/>
    <w:rsid w:val="00E00DED"/>
    <w:rsid w:val="00E01D46"/>
    <w:rsid w:val="00E0201C"/>
    <w:rsid w:val="00E102A8"/>
    <w:rsid w:val="00E11158"/>
    <w:rsid w:val="00E1161D"/>
    <w:rsid w:val="00E172F7"/>
    <w:rsid w:val="00E226E4"/>
    <w:rsid w:val="00E233A9"/>
    <w:rsid w:val="00E25273"/>
    <w:rsid w:val="00E30756"/>
    <w:rsid w:val="00E337E7"/>
    <w:rsid w:val="00E36525"/>
    <w:rsid w:val="00E40035"/>
    <w:rsid w:val="00E40464"/>
    <w:rsid w:val="00E43355"/>
    <w:rsid w:val="00E44600"/>
    <w:rsid w:val="00E46CB2"/>
    <w:rsid w:val="00E524C9"/>
    <w:rsid w:val="00E5392E"/>
    <w:rsid w:val="00E61E15"/>
    <w:rsid w:val="00E63467"/>
    <w:rsid w:val="00E65135"/>
    <w:rsid w:val="00E77ECD"/>
    <w:rsid w:val="00E806E8"/>
    <w:rsid w:val="00E82C84"/>
    <w:rsid w:val="00E93DA8"/>
    <w:rsid w:val="00E94C94"/>
    <w:rsid w:val="00EA028C"/>
    <w:rsid w:val="00EA14AE"/>
    <w:rsid w:val="00EA1C7F"/>
    <w:rsid w:val="00EA7753"/>
    <w:rsid w:val="00EB290C"/>
    <w:rsid w:val="00EB2DFD"/>
    <w:rsid w:val="00EB2EEC"/>
    <w:rsid w:val="00EB429F"/>
    <w:rsid w:val="00EB430C"/>
    <w:rsid w:val="00EB4C64"/>
    <w:rsid w:val="00EB540C"/>
    <w:rsid w:val="00EB60C2"/>
    <w:rsid w:val="00EB69A2"/>
    <w:rsid w:val="00EB78DF"/>
    <w:rsid w:val="00EC0133"/>
    <w:rsid w:val="00EC074E"/>
    <w:rsid w:val="00EC1985"/>
    <w:rsid w:val="00EC4359"/>
    <w:rsid w:val="00EC5DA6"/>
    <w:rsid w:val="00ED5B35"/>
    <w:rsid w:val="00EE026C"/>
    <w:rsid w:val="00EE2B80"/>
    <w:rsid w:val="00EE6A0F"/>
    <w:rsid w:val="00EF234E"/>
    <w:rsid w:val="00EF3E1C"/>
    <w:rsid w:val="00EF6643"/>
    <w:rsid w:val="00F007F3"/>
    <w:rsid w:val="00F01410"/>
    <w:rsid w:val="00F104E0"/>
    <w:rsid w:val="00F1232B"/>
    <w:rsid w:val="00F143D5"/>
    <w:rsid w:val="00F158EB"/>
    <w:rsid w:val="00F1622D"/>
    <w:rsid w:val="00F17332"/>
    <w:rsid w:val="00F20427"/>
    <w:rsid w:val="00F23A93"/>
    <w:rsid w:val="00F24B69"/>
    <w:rsid w:val="00F24BE1"/>
    <w:rsid w:val="00F271B4"/>
    <w:rsid w:val="00F2722D"/>
    <w:rsid w:val="00F3267B"/>
    <w:rsid w:val="00F412C0"/>
    <w:rsid w:val="00F41B45"/>
    <w:rsid w:val="00F42FA7"/>
    <w:rsid w:val="00F43A1E"/>
    <w:rsid w:val="00F43C63"/>
    <w:rsid w:val="00F446D1"/>
    <w:rsid w:val="00F51988"/>
    <w:rsid w:val="00F525B9"/>
    <w:rsid w:val="00F53627"/>
    <w:rsid w:val="00F5497B"/>
    <w:rsid w:val="00F54AE3"/>
    <w:rsid w:val="00F55371"/>
    <w:rsid w:val="00F56580"/>
    <w:rsid w:val="00F568AC"/>
    <w:rsid w:val="00F60978"/>
    <w:rsid w:val="00F64525"/>
    <w:rsid w:val="00F647AE"/>
    <w:rsid w:val="00F7004B"/>
    <w:rsid w:val="00F71116"/>
    <w:rsid w:val="00F7206E"/>
    <w:rsid w:val="00F720EF"/>
    <w:rsid w:val="00F729DC"/>
    <w:rsid w:val="00F72EB9"/>
    <w:rsid w:val="00F73352"/>
    <w:rsid w:val="00F73D33"/>
    <w:rsid w:val="00F74851"/>
    <w:rsid w:val="00F7760F"/>
    <w:rsid w:val="00F81C77"/>
    <w:rsid w:val="00F81DE7"/>
    <w:rsid w:val="00F83504"/>
    <w:rsid w:val="00F83F13"/>
    <w:rsid w:val="00F84AA9"/>
    <w:rsid w:val="00F85836"/>
    <w:rsid w:val="00F91AE0"/>
    <w:rsid w:val="00F93923"/>
    <w:rsid w:val="00F93B6D"/>
    <w:rsid w:val="00F96918"/>
    <w:rsid w:val="00FA0F10"/>
    <w:rsid w:val="00FA1E16"/>
    <w:rsid w:val="00FA3992"/>
    <w:rsid w:val="00FA524A"/>
    <w:rsid w:val="00FA6732"/>
    <w:rsid w:val="00FA7715"/>
    <w:rsid w:val="00FB2ED2"/>
    <w:rsid w:val="00FB41ED"/>
    <w:rsid w:val="00FB487A"/>
    <w:rsid w:val="00FB4CAF"/>
    <w:rsid w:val="00FB5455"/>
    <w:rsid w:val="00FC4E4C"/>
    <w:rsid w:val="00FC54BC"/>
    <w:rsid w:val="00FC67E9"/>
    <w:rsid w:val="00FC6C08"/>
    <w:rsid w:val="00FD1C7C"/>
    <w:rsid w:val="00FD3B7E"/>
    <w:rsid w:val="00FD6E7E"/>
    <w:rsid w:val="00FE051F"/>
    <w:rsid w:val="00FE0F32"/>
    <w:rsid w:val="00FE4C2B"/>
    <w:rsid w:val="00FE5344"/>
    <w:rsid w:val="00FE5D0C"/>
    <w:rsid w:val="00FF7E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BA047"/>
  <w15:docId w15:val="{7A695985-D2F8-4D16-92DB-FDC57C88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5A1"/>
    <w:rPr>
      <w:rFonts w:ascii="Arial" w:hAnsi="Arial"/>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rsid w:val="0071168B"/>
    <w:pPr>
      <w:keepNext/>
      <w:numPr>
        <w:numId w:val="2"/>
      </w:numPr>
      <w:spacing w:after="120"/>
      <w:outlineLvl w:val="2"/>
    </w:pPr>
    <w:rPr>
      <w:rFonts w:cs="Arial"/>
      <w:b/>
      <w:bCs/>
    </w:rPr>
  </w:style>
  <w:style w:type="paragraph" w:styleId="Heading4">
    <w:name w:val="heading 4"/>
    <w:basedOn w:val="Normal"/>
    <w:next w:val="Normal"/>
    <w:qFormat/>
    <w:pPr>
      <w:keepNext/>
      <w:spacing w:after="120"/>
      <w:outlineLvl w:val="3"/>
    </w:pPr>
    <w:rPr>
      <w:i/>
      <w:iCs/>
    </w:rPr>
  </w:style>
  <w:style w:type="paragraph" w:styleId="Heading5">
    <w:name w:val="heading 5"/>
    <w:basedOn w:val="Normal"/>
    <w:next w:val="Normal"/>
    <w:qFormat/>
    <w:pPr>
      <w:keepNext/>
      <w:spacing w:after="120"/>
      <w:ind w:left="851"/>
      <w:outlineLvl w:val="4"/>
    </w:pPr>
    <w:rPr>
      <w:b/>
      <w:bCs/>
    </w:rPr>
  </w:style>
  <w:style w:type="paragraph" w:styleId="Heading6">
    <w:name w:val="heading 6"/>
    <w:basedOn w:val="Normal"/>
    <w:next w:val="Normal"/>
    <w:qFormat/>
    <w:pPr>
      <w:spacing w:before="240" w:after="60"/>
      <w:outlineLvl w:val="5"/>
    </w:pPr>
    <w:rPr>
      <w:rFonts w:ascii="Times New Roman" w:hAnsi="Times New Roman"/>
      <w:b/>
      <w:bCs/>
      <w:sz w:val="22"/>
      <w:szCs w:val="22"/>
      <w:lang w:eastAsia="en-GB"/>
    </w:rPr>
  </w:style>
  <w:style w:type="paragraph" w:styleId="Heading7">
    <w:name w:val="heading 7"/>
    <w:basedOn w:val="Normal"/>
    <w:next w:val="Normal"/>
    <w:qFormat/>
    <w:pPr>
      <w:spacing w:before="240" w:after="60"/>
      <w:outlineLvl w:val="6"/>
    </w:pPr>
    <w:rPr>
      <w:rFonts w:ascii="Times New Roman" w:hAnsi="Times New Roman"/>
      <w:lang w:eastAsia="en-GB"/>
    </w:rPr>
  </w:style>
  <w:style w:type="paragraph" w:styleId="Heading8">
    <w:name w:val="heading 8"/>
    <w:basedOn w:val="Normal"/>
    <w:next w:val="Normal"/>
    <w:qFormat/>
    <w:pPr>
      <w:keepNext/>
      <w:spacing w:before="200" w:after="200"/>
      <w:ind w:firstLine="851"/>
      <w:jc w:val="both"/>
      <w:outlineLvl w:val="7"/>
    </w:pPr>
    <w:rPr>
      <w:rFonts w:cs="Arial"/>
      <w:b/>
    </w:rPr>
  </w:style>
  <w:style w:type="paragraph" w:styleId="Heading9">
    <w:name w:val="heading 9"/>
    <w:basedOn w:val="Normal"/>
    <w:next w:val="Normal"/>
    <w:qFormat/>
    <w:pPr>
      <w:keepNext/>
      <w:spacing w:after="120"/>
      <w:ind w:left="72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jc w:val="both"/>
    </w:pPr>
    <w:rPr>
      <w:b/>
      <w:bCs/>
    </w:rPr>
  </w:style>
  <w:style w:type="paragraph" w:styleId="Header">
    <w:name w:val="header"/>
    <w:basedOn w:val="Normal"/>
    <w:pPr>
      <w:tabs>
        <w:tab w:val="center" w:pos="4153"/>
        <w:tab w:val="right" w:pos="8306"/>
      </w:tabs>
    </w:pPr>
  </w:style>
  <w:style w:type="paragraph" w:customStyle="1" w:styleId="MainHeading">
    <w:name w:val="Main Heading"/>
    <w:basedOn w:val="NormalWeb"/>
    <w:pPr>
      <w:shd w:val="clear" w:color="auto" w:fill="FFFFFF"/>
      <w:jc w:val="center"/>
    </w:pPr>
    <w:rPr>
      <w:rFonts w:ascii="Arial" w:eastAsia="Arial Unicode MS" w:hAnsi="Arial" w:cs="Arial"/>
      <w:b/>
      <w:bCs/>
      <w:sz w:val="48"/>
      <w:lang w:val="en"/>
    </w:rPr>
  </w:style>
  <w:style w:type="paragraph" w:styleId="NormalWeb">
    <w:name w:val="Normal (Web)"/>
    <w:basedOn w:val="Normal"/>
    <w:rPr>
      <w:rFonts w:ascii="Times New Roman" w:hAnsi="Times New Roman"/>
    </w:rPr>
  </w:style>
  <w:style w:type="paragraph" w:styleId="Footer">
    <w:name w:val="footer"/>
    <w:basedOn w:val="Normal"/>
    <w:pPr>
      <w:tabs>
        <w:tab w:val="center" w:pos="4153"/>
        <w:tab w:val="right" w:pos="8306"/>
      </w:tabs>
    </w:pPr>
  </w:style>
  <w:style w:type="paragraph" w:styleId="BodyText2">
    <w:name w:val="Body Text 2"/>
    <w:basedOn w:val="Normal"/>
    <w:pPr>
      <w:jc w:val="center"/>
    </w:pPr>
  </w:style>
  <w:style w:type="paragraph" w:styleId="Title">
    <w:name w:val="Title"/>
    <w:basedOn w:val="Normal"/>
    <w:qFormat/>
    <w:pPr>
      <w:jc w:val="center"/>
    </w:pPr>
    <w:rPr>
      <w:b/>
      <w:sz w:val="28"/>
      <w:szCs w:val="20"/>
    </w:rPr>
  </w:style>
  <w:style w:type="character" w:styleId="Hyperlink">
    <w:name w:val="Hyperlink"/>
    <w:rPr>
      <w:color w:val="0000FF"/>
      <w:u w:val="single"/>
    </w:rPr>
  </w:style>
  <w:style w:type="paragraph" w:styleId="BodyTextIndent">
    <w:name w:val="Body Text Indent"/>
    <w:basedOn w:val="Normal"/>
    <w:pPr>
      <w:spacing w:after="120"/>
      <w:ind w:left="283"/>
    </w:pPr>
    <w:rPr>
      <w:szCs w:val="20"/>
      <w:lang w:eastAsia="en-GB"/>
    </w:rPr>
  </w:style>
  <w:style w:type="paragraph" w:styleId="BodyTextIndent2">
    <w:name w:val="Body Text Indent 2"/>
    <w:basedOn w:val="Normal"/>
    <w:pPr>
      <w:spacing w:after="120" w:line="480" w:lineRule="auto"/>
      <w:ind w:left="283"/>
    </w:pPr>
    <w:rPr>
      <w:szCs w:val="20"/>
      <w:lang w:eastAsia="en-GB"/>
    </w:rPr>
  </w:style>
  <w:style w:type="paragraph" w:styleId="Subtitle">
    <w:name w:val="Subtitle"/>
    <w:basedOn w:val="Normal"/>
    <w:qFormat/>
    <w:pPr>
      <w:spacing w:before="120"/>
      <w:jc w:val="center"/>
    </w:pPr>
    <w:rPr>
      <w:b/>
    </w:rPr>
  </w:style>
  <w:style w:type="paragraph" w:styleId="BodyTextIndent3">
    <w:name w:val="Body Text Indent 3"/>
    <w:basedOn w:val="Normal"/>
    <w:pPr>
      <w:tabs>
        <w:tab w:val="num" w:pos="426"/>
      </w:tabs>
      <w:spacing w:after="120"/>
      <w:ind w:leftChars="122" w:left="293"/>
      <w:jc w:val="both"/>
    </w:pPr>
    <w:rPr>
      <w:rFonts w:cs="Arial"/>
      <w:iCs/>
    </w:rPr>
  </w:style>
  <w:style w:type="character" w:styleId="PageNumber">
    <w:name w:val="page number"/>
    <w:basedOn w:val="DefaultParagraphFont"/>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en-US"/>
    </w:rPr>
  </w:style>
  <w:style w:type="paragraph" w:customStyle="1" w:styleId="CM17">
    <w:name w:val="CM17"/>
    <w:basedOn w:val="Default"/>
    <w:next w:val="Default"/>
    <w:pPr>
      <w:spacing w:after="368"/>
    </w:pPr>
    <w:rPr>
      <w:rFonts w:cs="Times New Roman"/>
      <w:color w:val="auto"/>
    </w:rPr>
  </w:style>
  <w:style w:type="paragraph" w:customStyle="1" w:styleId="CM1">
    <w:name w:val="CM1"/>
    <w:basedOn w:val="Default"/>
    <w:next w:val="Default"/>
    <w:rPr>
      <w:rFonts w:cs="Times New Roman"/>
      <w:color w:val="auto"/>
    </w:rPr>
  </w:style>
  <w:style w:type="paragraph" w:customStyle="1" w:styleId="CM18">
    <w:name w:val="CM18"/>
    <w:basedOn w:val="Default"/>
    <w:next w:val="Default"/>
    <w:pPr>
      <w:spacing w:after="268"/>
    </w:pPr>
    <w:rPr>
      <w:rFonts w:cs="Times New Roman"/>
      <w:color w:val="auto"/>
    </w:rPr>
  </w:style>
  <w:style w:type="paragraph" w:customStyle="1" w:styleId="CM2">
    <w:name w:val="CM2"/>
    <w:basedOn w:val="Default"/>
    <w:next w:val="Default"/>
    <w:rPr>
      <w:rFonts w:cs="Times New Roman"/>
      <w:color w:val="auto"/>
    </w:rPr>
  </w:style>
  <w:style w:type="paragraph" w:customStyle="1" w:styleId="CM3">
    <w:name w:val="CM3"/>
    <w:basedOn w:val="Default"/>
    <w:next w:val="Default"/>
    <w:pPr>
      <w:spacing w:line="278" w:lineRule="atLeast"/>
    </w:pPr>
    <w:rPr>
      <w:rFonts w:cs="Times New Roman"/>
      <w:color w:val="auto"/>
    </w:rPr>
  </w:style>
  <w:style w:type="paragraph" w:customStyle="1" w:styleId="CM7">
    <w:name w:val="CM7"/>
    <w:basedOn w:val="Default"/>
    <w:next w:val="Default"/>
    <w:pPr>
      <w:spacing w:line="276" w:lineRule="atLeast"/>
    </w:pPr>
    <w:rPr>
      <w:rFonts w:cs="Times New Roman"/>
      <w:color w:val="auto"/>
    </w:rPr>
  </w:style>
  <w:style w:type="paragraph" w:customStyle="1" w:styleId="CM8">
    <w:name w:val="CM8"/>
    <w:basedOn w:val="Default"/>
    <w:next w:val="Default"/>
    <w:pPr>
      <w:spacing w:line="276" w:lineRule="atLeast"/>
    </w:pPr>
    <w:rPr>
      <w:rFonts w:cs="Times New Roman"/>
      <w:color w:val="auto"/>
    </w:rPr>
  </w:style>
  <w:style w:type="paragraph" w:customStyle="1" w:styleId="CM9">
    <w:name w:val="CM9"/>
    <w:basedOn w:val="Default"/>
    <w:next w:val="Default"/>
    <w:rPr>
      <w:rFonts w:cs="Times New Roman"/>
      <w:color w:val="auto"/>
    </w:rPr>
  </w:style>
  <w:style w:type="paragraph" w:customStyle="1" w:styleId="CM10">
    <w:name w:val="CM10"/>
    <w:basedOn w:val="Default"/>
    <w:next w:val="Default"/>
    <w:pPr>
      <w:spacing w:line="276" w:lineRule="atLeast"/>
    </w:pPr>
    <w:rPr>
      <w:rFonts w:cs="Times New Roman"/>
      <w:color w:val="auto"/>
    </w:rPr>
  </w:style>
  <w:style w:type="paragraph" w:customStyle="1" w:styleId="CM21">
    <w:name w:val="CM21"/>
    <w:basedOn w:val="Default"/>
    <w:next w:val="Default"/>
    <w:pPr>
      <w:spacing w:after="1028"/>
    </w:pPr>
    <w:rPr>
      <w:rFonts w:cs="Times New Roman"/>
      <w:color w:val="auto"/>
    </w:rPr>
  </w:style>
  <w:style w:type="paragraph" w:customStyle="1" w:styleId="CM22">
    <w:name w:val="CM22"/>
    <w:basedOn w:val="Default"/>
    <w:next w:val="Default"/>
    <w:pPr>
      <w:spacing w:after="105"/>
    </w:pPr>
    <w:rPr>
      <w:rFonts w:cs="Times New Roman"/>
      <w:color w:val="auto"/>
    </w:rPr>
  </w:style>
  <w:style w:type="paragraph" w:customStyle="1" w:styleId="CM16">
    <w:name w:val="CM16"/>
    <w:basedOn w:val="Default"/>
    <w:next w:val="Default"/>
    <w:pPr>
      <w:spacing w:line="231" w:lineRule="atLeast"/>
    </w:pPr>
    <w:rPr>
      <w:rFonts w:cs="Times New Roman"/>
      <w:color w:val="auto"/>
    </w:rPr>
  </w:style>
  <w:style w:type="paragraph" w:customStyle="1" w:styleId="CM20">
    <w:name w:val="CM20"/>
    <w:basedOn w:val="Default"/>
    <w:next w:val="Default"/>
    <w:pPr>
      <w:spacing w:after="628"/>
    </w:pPr>
    <w:rPr>
      <w:rFonts w:cs="Times New Roman"/>
      <w:color w:val="auto"/>
    </w:rPr>
  </w:style>
  <w:style w:type="paragraph" w:customStyle="1" w:styleId="CM19">
    <w:name w:val="CM19"/>
    <w:basedOn w:val="Default"/>
    <w:next w:val="Default"/>
    <w:pPr>
      <w:spacing w:after="288"/>
    </w:pPr>
    <w:rPr>
      <w:rFonts w:cs="Times New Roman"/>
      <w:color w:val="auto"/>
    </w:rPr>
  </w:style>
  <w:style w:type="paragraph" w:styleId="BodyText3">
    <w:name w:val="Body Text 3"/>
    <w:basedOn w:val="Normal"/>
    <w:pPr>
      <w:spacing w:before="200" w:after="200"/>
      <w:jc w:val="both"/>
    </w:pPr>
    <w:rPr>
      <w:rFonts w:cs="Arial"/>
      <w:szCs w:val="20"/>
    </w:rPr>
  </w:style>
  <w:style w:type="paragraph" w:styleId="Caption">
    <w:name w:val="caption"/>
    <w:basedOn w:val="Normal"/>
    <w:next w:val="Normal"/>
    <w:qFormat/>
    <w:pPr>
      <w:spacing w:before="200" w:after="200"/>
    </w:pPr>
    <w:rPr>
      <w:rFonts w:cs="Arial"/>
      <w:i/>
      <w:iCs/>
      <w:sz w:val="20"/>
      <w:szCs w:val="20"/>
    </w:rPr>
  </w:style>
  <w:style w:type="character" w:styleId="FollowedHyperlink">
    <w:name w:val="FollowedHyperlink"/>
    <w:rPr>
      <w:color w:val="800080"/>
      <w:u w:val="single"/>
    </w:rPr>
  </w:style>
  <w:style w:type="paragraph" w:styleId="BalloonText">
    <w:name w:val="Balloon Text"/>
    <w:basedOn w:val="Normal"/>
    <w:link w:val="BalloonTextChar"/>
    <w:rsid w:val="00451327"/>
    <w:rPr>
      <w:rFonts w:ascii="Tahoma" w:hAnsi="Tahoma" w:cs="Tahoma"/>
      <w:sz w:val="16"/>
      <w:szCs w:val="16"/>
    </w:rPr>
  </w:style>
  <w:style w:type="character" w:customStyle="1" w:styleId="BalloonTextChar">
    <w:name w:val="Balloon Text Char"/>
    <w:link w:val="BalloonText"/>
    <w:rsid w:val="00451327"/>
    <w:rPr>
      <w:rFonts w:ascii="Tahoma" w:hAnsi="Tahoma" w:cs="Tahoma"/>
      <w:sz w:val="16"/>
      <w:szCs w:val="16"/>
      <w:lang w:val="en-GB"/>
    </w:rPr>
  </w:style>
  <w:style w:type="character" w:customStyle="1" w:styleId="Heading2Char">
    <w:name w:val="Heading 2 Char"/>
    <w:link w:val="Heading2"/>
    <w:rsid w:val="009A15E1"/>
    <w:rPr>
      <w:rFonts w:ascii="Arial" w:hAnsi="Arial"/>
      <w:b/>
      <w:bCs/>
      <w:sz w:val="24"/>
      <w:szCs w:val="24"/>
      <w:lang w:val="en-GB" w:eastAsia="en-US" w:bidi="ar-SA"/>
    </w:rPr>
  </w:style>
  <w:style w:type="table" w:styleId="TableGrid">
    <w:name w:val="Table Grid"/>
    <w:basedOn w:val="TableNormal"/>
    <w:rsid w:val="007C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5AD"/>
    <w:pPr>
      <w:ind w:left="720"/>
    </w:pPr>
  </w:style>
  <w:style w:type="character" w:styleId="CommentReference">
    <w:name w:val="annotation reference"/>
    <w:rsid w:val="003E6219"/>
    <w:rPr>
      <w:sz w:val="16"/>
      <w:szCs w:val="16"/>
    </w:rPr>
  </w:style>
  <w:style w:type="paragraph" w:styleId="CommentText">
    <w:name w:val="annotation text"/>
    <w:basedOn w:val="Normal"/>
    <w:link w:val="CommentTextChar"/>
    <w:rsid w:val="003E6219"/>
    <w:rPr>
      <w:sz w:val="20"/>
      <w:szCs w:val="20"/>
    </w:rPr>
  </w:style>
  <w:style w:type="character" w:customStyle="1" w:styleId="CommentTextChar">
    <w:name w:val="Comment Text Char"/>
    <w:link w:val="CommentText"/>
    <w:rsid w:val="003E6219"/>
    <w:rPr>
      <w:rFonts w:ascii="Arial" w:hAnsi="Arial"/>
      <w:lang w:eastAsia="en-US"/>
    </w:rPr>
  </w:style>
  <w:style w:type="paragraph" w:styleId="CommentSubject">
    <w:name w:val="annotation subject"/>
    <w:basedOn w:val="CommentText"/>
    <w:next w:val="CommentText"/>
    <w:link w:val="CommentSubjectChar"/>
    <w:rsid w:val="003E6219"/>
    <w:rPr>
      <w:b/>
      <w:bCs/>
    </w:rPr>
  </w:style>
  <w:style w:type="character" w:customStyle="1" w:styleId="CommentSubjectChar">
    <w:name w:val="Comment Subject Char"/>
    <w:link w:val="CommentSubject"/>
    <w:rsid w:val="003E6219"/>
    <w:rPr>
      <w:rFonts w:ascii="Arial" w:hAnsi="Arial"/>
      <w:b/>
      <w:bCs/>
      <w:lang w:eastAsia="en-US"/>
    </w:rPr>
  </w:style>
  <w:style w:type="paragraph" w:styleId="Revision">
    <w:name w:val="Revision"/>
    <w:hidden/>
    <w:uiPriority w:val="99"/>
    <w:semiHidden/>
    <w:rsid w:val="00667EA6"/>
    <w:rPr>
      <w:rFonts w:ascii="Arial" w:hAnsi="Arial"/>
      <w:sz w:val="24"/>
      <w:szCs w:val="24"/>
      <w:lang w:eastAsia="en-US"/>
    </w:rPr>
  </w:style>
  <w:style w:type="table" w:customStyle="1" w:styleId="TableGrid1">
    <w:name w:val="Table Grid1"/>
    <w:basedOn w:val="TableNormal"/>
    <w:next w:val="TableGrid"/>
    <w:uiPriority w:val="39"/>
    <w:rsid w:val="00E400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4631">
      <w:bodyDiv w:val="1"/>
      <w:marLeft w:val="0"/>
      <w:marRight w:val="0"/>
      <w:marTop w:val="0"/>
      <w:marBottom w:val="0"/>
      <w:divBdr>
        <w:top w:val="none" w:sz="0" w:space="0" w:color="auto"/>
        <w:left w:val="none" w:sz="0" w:space="0" w:color="auto"/>
        <w:bottom w:val="none" w:sz="0" w:space="0" w:color="auto"/>
        <w:right w:val="none" w:sz="0" w:space="0" w:color="auto"/>
      </w:divBdr>
    </w:div>
    <w:div w:id="524027921">
      <w:bodyDiv w:val="1"/>
      <w:marLeft w:val="0"/>
      <w:marRight w:val="0"/>
      <w:marTop w:val="0"/>
      <w:marBottom w:val="0"/>
      <w:divBdr>
        <w:top w:val="none" w:sz="0" w:space="0" w:color="auto"/>
        <w:left w:val="none" w:sz="0" w:space="0" w:color="auto"/>
        <w:bottom w:val="none" w:sz="0" w:space="0" w:color="auto"/>
        <w:right w:val="none" w:sz="0" w:space="0" w:color="auto"/>
      </w:divBdr>
    </w:div>
    <w:div w:id="629940323">
      <w:bodyDiv w:val="1"/>
      <w:marLeft w:val="0"/>
      <w:marRight w:val="0"/>
      <w:marTop w:val="0"/>
      <w:marBottom w:val="0"/>
      <w:divBdr>
        <w:top w:val="none" w:sz="0" w:space="0" w:color="auto"/>
        <w:left w:val="none" w:sz="0" w:space="0" w:color="auto"/>
        <w:bottom w:val="none" w:sz="0" w:space="0" w:color="auto"/>
        <w:right w:val="none" w:sz="0" w:space="0" w:color="auto"/>
      </w:divBdr>
    </w:div>
    <w:div w:id="652102423">
      <w:bodyDiv w:val="1"/>
      <w:marLeft w:val="0"/>
      <w:marRight w:val="0"/>
      <w:marTop w:val="0"/>
      <w:marBottom w:val="0"/>
      <w:divBdr>
        <w:top w:val="none" w:sz="0" w:space="0" w:color="auto"/>
        <w:left w:val="none" w:sz="0" w:space="0" w:color="auto"/>
        <w:bottom w:val="none" w:sz="0" w:space="0" w:color="auto"/>
        <w:right w:val="none" w:sz="0" w:space="0" w:color="auto"/>
      </w:divBdr>
    </w:div>
    <w:div w:id="777068163">
      <w:bodyDiv w:val="1"/>
      <w:marLeft w:val="0"/>
      <w:marRight w:val="0"/>
      <w:marTop w:val="0"/>
      <w:marBottom w:val="0"/>
      <w:divBdr>
        <w:top w:val="none" w:sz="0" w:space="0" w:color="auto"/>
        <w:left w:val="none" w:sz="0" w:space="0" w:color="auto"/>
        <w:bottom w:val="none" w:sz="0" w:space="0" w:color="auto"/>
        <w:right w:val="none" w:sz="0" w:space="0" w:color="auto"/>
      </w:divBdr>
    </w:div>
    <w:div w:id="830100456">
      <w:bodyDiv w:val="1"/>
      <w:marLeft w:val="0"/>
      <w:marRight w:val="0"/>
      <w:marTop w:val="0"/>
      <w:marBottom w:val="0"/>
      <w:divBdr>
        <w:top w:val="none" w:sz="0" w:space="0" w:color="auto"/>
        <w:left w:val="none" w:sz="0" w:space="0" w:color="auto"/>
        <w:bottom w:val="none" w:sz="0" w:space="0" w:color="auto"/>
        <w:right w:val="none" w:sz="0" w:space="0" w:color="auto"/>
      </w:divBdr>
    </w:div>
    <w:div w:id="1177186745">
      <w:bodyDiv w:val="1"/>
      <w:marLeft w:val="0"/>
      <w:marRight w:val="0"/>
      <w:marTop w:val="0"/>
      <w:marBottom w:val="0"/>
      <w:divBdr>
        <w:top w:val="none" w:sz="0" w:space="0" w:color="auto"/>
        <w:left w:val="none" w:sz="0" w:space="0" w:color="auto"/>
        <w:bottom w:val="none" w:sz="0" w:space="0" w:color="auto"/>
        <w:right w:val="none" w:sz="0" w:space="0" w:color="auto"/>
      </w:divBdr>
    </w:div>
    <w:div w:id="1561791469">
      <w:bodyDiv w:val="1"/>
      <w:marLeft w:val="0"/>
      <w:marRight w:val="0"/>
      <w:marTop w:val="0"/>
      <w:marBottom w:val="0"/>
      <w:divBdr>
        <w:top w:val="none" w:sz="0" w:space="0" w:color="auto"/>
        <w:left w:val="none" w:sz="0" w:space="0" w:color="auto"/>
        <w:bottom w:val="none" w:sz="0" w:space="0" w:color="auto"/>
        <w:right w:val="none" w:sz="0" w:space="0" w:color="auto"/>
      </w:divBdr>
    </w:div>
    <w:div w:id="1579631080">
      <w:bodyDiv w:val="1"/>
      <w:marLeft w:val="0"/>
      <w:marRight w:val="0"/>
      <w:marTop w:val="0"/>
      <w:marBottom w:val="0"/>
      <w:divBdr>
        <w:top w:val="none" w:sz="0" w:space="0" w:color="auto"/>
        <w:left w:val="none" w:sz="0" w:space="0" w:color="auto"/>
        <w:bottom w:val="none" w:sz="0" w:space="0" w:color="auto"/>
        <w:right w:val="none" w:sz="0" w:space="0" w:color="auto"/>
      </w:divBdr>
    </w:div>
    <w:div w:id="1648894832">
      <w:bodyDiv w:val="1"/>
      <w:marLeft w:val="0"/>
      <w:marRight w:val="0"/>
      <w:marTop w:val="0"/>
      <w:marBottom w:val="0"/>
      <w:divBdr>
        <w:top w:val="none" w:sz="0" w:space="0" w:color="auto"/>
        <w:left w:val="none" w:sz="0" w:space="0" w:color="auto"/>
        <w:bottom w:val="none" w:sz="0" w:space="0" w:color="auto"/>
        <w:right w:val="none" w:sz="0" w:space="0" w:color="auto"/>
      </w:divBdr>
    </w:div>
    <w:div w:id="17950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790BB-15A5-4804-BDD4-FBCE008D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FRAMEWORK FOR POLICIES:</vt:lpstr>
    </vt:vector>
  </TitlesOfParts>
  <Company>Somerset Partnership NHS Foundation Trust</Company>
  <LinksUpToDate>false</LinksUpToDate>
  <CharactersWithSpaces>18476</CharactersWithSpaces>
  <SharedDoc>false</SharedDoc>
  <HLinks>
    <vt:vector size="18" baseType="variant">
      <vt:variant>
        <vt:i4>196696</vt:i4>
      </vt:variant>
      <vt:variant>
        <vt:i4>9</vt:i4>
      </vt:variant>
      <vt:variant>
        <vt:i4>0</vt:i4>
      </vt:variant>
      <vt:variant>
        <vt:i4>5</vt:i4>
      </vt:variant>
      <vt:variant>
        <vt:lpwstr>C:\Users\tyoung\AppData\Local\Microsoft\Windows\INetCache\Content.Outlook\3LBVM5M8\Patient Satisfaction Questionnaire SOP v1.0.docx</vt:lpwstr>
      </vt:variant>
      <vt:variant>
        <vt:lpwstr/>
      </vt:variant>
      <vt:variant>
        <vt:i4>6619164</vt:i4>
      </vt:variant>
      <vt:variant>
        <vt:i4>6</vt:i4>
      </vt:variant>
      <vt:variant>
        <vt:i4>0</vt:i4>
      </vt:variant>
      <vt:variant>
        <vt:i4>5</vt:i4>
      </vt:variant>
      <vt:variant>
        <vt:lpwstr>mailto:PLTYeovil@sompar.nhs.uk</vt:lpwstr>
      </vt:variant>
      <vt:variant>
        <vt:lpwstr/>
      </vt:variant>
      <vt:variant>
        <vt:i4>4390954</vt:i4>
      </vt:variant>
      <vt:variant>
        <vt:i4>3</vt:i4>
      </vt:variant>
      <vt:variant>
        <vt:i4>0</vt:i4>
      </vt:variant>
      <vt:variant>
        <vt:i4>5</vt:i4>
      </vt:variant>
      <vt:variant>
        <vt:lpwstr>mailto:PLTTaunton@sompar.nhs.uk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POLICIES:</dc:title>
  <dc:creator>Broadway Rachel (Somerset Partnership)</dc:creator>
  <cp:lastModifiedBy>Eugene Stevenson</cp:lastModifiedBy>
  <cp:revision>4</cp:revision>
  <cp:lastPrinted>2022-03-07T14:27:00Z</cp:lastPrinted>
  <dcterms:created xsi:type="dcterms:W3CDTF">2022-03-21T10:59:00Z</dcterms:created>
  <dcterms:modified xsi:type="dcterms:W3CDTF">2022-03-23T09:49:00Z</dcterms:modified>
</cp:coreProperties>
</file>