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15" w:type="dxa"/>
          <w:right w:w="115" w:type="dxa"/>
        </w:tblCellMar>
        <w:tblLook w:val="0000" w:firstRow="0" w:lastRow="0" w:firstColumn="0" w:lastColumn="0" w:noHBand="0" w:noVBand="0"/>
      </w:tblPr>
      <w:tblGrid>
        <w:gridCol w:w="6380"/>
        <w:gridCol w:w="2955"/>
      </w:tblGrid>
      <w:tr w:rsidR="00195373" w:rsidRPr="00CB7D5B" w14:paraId="15D95050" w14:textId="77777777">
        <w:trPr>
          <w:trHeight w:val="347"/>
        </w:trPr>
        <w:tc>
          <w:tcPr>
            <w:tcW w:w="3441" w:type="pct"/>
            <w:tcBorders>
              <w:bottom w:val="single" w:sz="4" w:space="0" w:color="auto"/>
            </w:tcBorders>
            <w:vAlign w:val="bottom"/>
          </w:tcPr>
          <w:p w14:paraId="4DA6775D" w14:textId="3BA792EC" w:rsidR="00195373" w:rsidRPr="00CB7D5B" w:rsidRDefault="00195373">
            <w:pPr>
              <w:pStyle w:val="Heading4"/>
              <w:rPr>
                <w:rFonts w:cs="Arial"/>
                <w:sz w:val="24"/>
              </w:rPr>
            </w:pPr>
            <w:r w:rsidRPr="00CB7D5B">
              <w:rPr>
                <w:rFonts w:cs="Arial"/>
                <w:sz w:val="24"/>
              </w:rPr>
              <w:t xml:space="preserve">Somerset </w:t>
            </w:r>
            <w:r w:rsidR="00A03271" w:rsidRPr="00CB7D5B">
              <w:rPr>
                <w:rFonts w:cs="Arial"/>
                <w:sz w:val="24"/>
              </w:rPr>
              <w:t>Safeguarding Adults Board</w:t>
            </w:r>
          </w:p>
          <w:p w14:paraId="6998DBFF" w14:textId="6A90DB20" w:rsidR="00451465" w:rsidRPr="00CB7D5B" w:rsidRDefault="00670E54">
            <w:pPr>
              <w:rPr>
                <w:rFonts w:cs="Arial"/>
              </w:rPr>
            </w:pPr>
            <w:r w:rsidRPr="00CB7D5B">
              <w:rPr>
                <w:rFonts w:cs="Arial"/>
              </w:rPr>
              <w:t>Performance and Quality Sub Group</w:t>
            </w:r>
          </w:p>
          <w:p w14:paraId="2B767006" w14:textId="3FC48E8F" w:rsidR="00195373" w:rsidRPr="00CB7D5B" w:rsidRDefault="00670E54">
            <w:pPr>
              <w:rPr>
                <w:rFonts w:cs="Arial"/>
              </w:rPr>
            </w:pPr>
            <w:r w:rsidRPr="00CB7D5B">
              <w:rPr>
                <w:rFonts w:cs="Arial"/>
              </w:rPr>
              <w:t>8</w:t>
            </w:r>
            <w:r w:rsidRPr="00CB7D5B">
              <w:rPr>
                <w:rFonts w:cs="Arial"/>
                <w:vertAlign w:val="superscript"/>
              </w:rPr>
              <w:t>th</w:t>
            </w:r>
            <w:r w:rsidRPr="00CB7D5B">
              <w:rPr>
                <w:rFonts w:cs="Arial"/>
              </w:rPr>
              <w:t xml:space="preserve"> February 2024</w:t>
            </w:r>
          </w:p>
          <w:p w14:paraId="1504D723" w14:textId="77777777" w:rsidR="005B597F" w:rsidRPr="00CB7D5B" w:rsidRDefault="005B597F">
            <w:pPr>
              <w:rPr>
                <w:rFonts w:cs="Arial"/>
              </w:rPr>
            </w:pPr>
          </w:p>
        </w:tc>
        <w:tc>
          <w:tcPr>
            <w:tcW w:w="1559" w:type="pct"/>
            <w:tcBorders>
              <w:bottom w:val="single" w:sz="4" w:space="0" w:color="auto"/>
            </w:tcBorders>
          </w:tcPr>
          <w:p w14:paraId="75BE052C" w14:textId="0DFA7F11" w:rsidR="00195373" w:rsidRPr="00CB7D5B" w:rsidRDefault="000153D5">
            <w:pPr>
              <w:pStyle w:val="Heading4"/>
              <w:jc w:val="right"/>
              <w:rPr>
                <w:rFonts w:cs="Arial"/>
                <w:sz w:val="24"/>
              </w:rPr>
            </w:pPr>
            <w:r w:rsidRPr="00CB7D5B">
              <w:rPr>
                <w:rFonts w:cs="Arial"/>
                <w:noProof/>
              </w:rPr>
              <w:drawing>
                <wp:inline distT="0" distB="0" distL="0" distR="0" wp14:anchorId="5491980E" wp14:editId="2148B164">
                  <wp:extent cx="1730375" cy="551815"/>
                  <wp:effectExtent l="0" t="0" r="0" b="0"/>
                  <wp:docPr id="1" name="Picture 2" descr="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set Safeguarding Adults Bo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0375" cy="551815"/>
                          </a:xfrm>
                          <a:prstGeom prst="rect">
                            <a:avLst/>
                          </a:prstGeom>
                          <a:noFill/>
                          <a:ln>
                            <a:noFill/>
                          </a:ln>
                        </pic:spPr>
                      </pic:pic>
                    </a:graphicData>
                  </a:graphic>
                </wp:inline>
              </w:drawing>
            </w:r>
          </w:p>
        </w:tc>
      </w:tr>
    </w:tbl>
    <w:p w14:paraId="4CEAD31F" w14:textId="356319CA" w:rsidR="00195373" w:rsidRPr="00903B3A" w:rsidRDefault="00E61EEC" w:rsidP="00CB7D5B">
      <w:pPr>
        <w:rPr>
          <w:rFonts w:cs="Arial"/>
          <w:sz w:val="28"/>
          <w:szCs w:val="28"/>
        </w:rPr>
      </w:pPr>
      <w:r w:rsidRPr="00903B3A">
        <w:rPr>
          <w:rFonts w:cs="Arial"/>
          <w:b/>
          <w:bCs/>
          <w:sz w:val="28"/>
          <w:szCs w:val="28"/>
        </w:rPr>
        <w:t xml:space="preserve">Market </w:t>
      </w:r>
      <w:r w:rsidR="00CB7D5B" w:rsidRPr="00903B3A">
        <w:rPr>
          <w:rFonts w:cs="Arial"/>
          <w:b/>
          <w:bCs/>
          <w:sz w:val="28"/>
          <w:szCs w:val="28"/>
        </w:rPr>
        <w:t>s</w:t>
      </w:r>
      <w:r w:rsidRPr="00903B3A">
        <w:rPr>
          <w:rFonts w:cs="Arial"/>
          <w:b/>
          <w:bCs/>
          <w:sz w:val="28"/>
          <w:szCs w:val="28"/>
        </w:rPr>
        <w:t>haping and S</w:t>
      </w:r>
      <w:r w:rsidR="00CB7D5B" w:rsidRPr="00903B3A">
        <w:rPr>
          <w:rFonts w:cs="Arial"/>
          <w:b/>
          <w:bCs/>
          <w:sz w:val="28"/>
          <w:szCs w:val="28"/>
        </w:rPr>
        <w:t>ta</w:t>
      </w:r>
      <w:r w:rsidRPr="00903B3A">
        <w:rPr>
          <w:rFonts w:cs="Arial"/>
          <w:b/>
          <w:bCs/>
          <w:sz w:val="28"/>
          <w:szCs w:val="28"/>
        </w:rPr>
        <w:t>bility in the Somerset Care Market</w:t>
      </w:r>
    </w:p>
    <w:p w14:paraId="0AE9AD96" w14:textId="79863359" w:rsidR="00415463" w:rsidRPr="00CB7D5B" w:rsidRDefault="00195373">
      <w:pPr>
        <w:rPr>
          <w:rFonts w:cs="Arial"/>
        </w:rPr>
      </w:pPr>
      <w:r w:rsidRPr="00CB7D5B">
        <w:rPr>
          <w:rFonts w:cs="Arial"/>
        </w:rPr>
        <w:t>Author:</w:t>
      </w:r>
      <w:r w:rsidR="00E61EEC" w:rsidRPr="00CB7D5B">
        <w:rPr>
          <w:rFonts w:cs="Arial"/>
        </w:rPr>
        <w:t xml:space="preserve"> James Cawley</w:t>
      </w:r>
      <w:r w:rsidR="00CB7D5B" w:rsidRPr="00CB7D5B">
        <w:rPr>
          <w:rFonts w:cs="Arial"/>
        </w:rPr>
        <w:t>, Strategic Commissioning Manager</w:t>
      </w:r>
    </w:p>
    <w:p w14:paraId="3778301C" w14:textId="1BD97AA9" w:rsidR="00195373" w:rsidRPr="00CB7D5B" w:rsidRDefault="00415463">
      <w:pPr>
        <w:rPr>
          <w:rFonts w:cs="Arial"/>
        </w:rPr>
      </w:pPr>
      <w:r w:rsidRPr="00CB7D5B">
        <w:rPr>
          <w:rFonts w:cs="Arial"/>
        </w:rPr>
        <w:t>Organisation:</w:t>
      </w:r>
      <w:r w:rsidR="00195373" w:rsidRPr="00CB7D5B">
        <w:rPr>
          <w:rFonts w:cs="Arial"/>
        </w:rPr>
        <w:t xml:space="preserve"> </w:t>
      </w:r>
      <w:r w:rsidR="00E61EEC" w:rsidRPr="00CB7D5B">
        <w:rPr>
          <w:rFonts w:cs="Arial"/>
        </w:rPr>
        <w:t>Somerset Council</w:t>
      </w:r>
      <w:r w:rsidR="00CB7D5B" w:rsidRPr="00CB7D5B">
        <w:rPr>
          <w:rFonts w:cs="Arial"/>
        </w:rPr>
        <w:t>, Adult Social Care</w:t>
      </w:r>
    </w:p>
    <w:p w14:paraId="18DA8096" w14:textId="7D0ECF8D" w:rsidR="00195373" w:rsidRPr="00CB7D5B" w:rsidRDefault="00195373">
      <w:pPr>
        <w:rPr>
          <w:rFonts w:cs="Arial"/>
        </w:rPr>
      </w:pPr>
      <w:r w:rsidRPr="00CB7D5B">
        <w:rPr>
          <w:rFonts w:cs="Arial"/>
        </w:rPr>
        <w:t xml:space="preserve">Contact Details: </w:t>
      </w:r>
      <w:hyperlink r:id="rId14" w:history="1">
        <w:r w:rsidR="00CB7D5B" w:rsidRPr="00CB7D5B">
          <w:rPr>
            <w:rStyle w:val="Hyperlink"/>
            <w:rFonts w:cs="Arial"/>
          </w:rPr>
          <w:t>james.cawley@somerset.gov.uk</w:t>
        </w:r>
      </w:hyperlink>
      <w:r w:rsidR="00CB7D5B" w:rsidRPr="00CB7D5B">
        <w:rPr>
          <w:rFonts w:cs="Arial"/>
        </w:rPr>
        <w:t xml:space="preserve"> </w:t>
      </w:r>
    </w:p>
    <w:p w14:paraId="26FC1C08" w14:textId="77777777" w:rsidR="00195373" w:rsidRDefault="0019537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651"/>
      </w:tblGrid>
      <w:tr w:rsidR="009D553A" w14:paraId="0069D710" w14:textId="77777777" w:rsidTr="003A7469">
        <w:tc>
          <w:tcPr>
            <w:tcW w:w="421" w:type="dxa"/>
          </w:tcPr>
          <w:p w14:paraId="548E09E7" w14:textId="3A8EE7F7" w:rsidR="009D553A" w:rsidRPr="009D553A" w:rsidRDefault="009D553A">
            <w:pPr>
              <w:rPr>
                <w:rFonts w:cs="Arial"/>
                <w:b/>
                <w:bCs/>
              </w:rPr>
            </w:pPr>
            <w:r>
              <w:rPr>
                <w:rFonts w:cs="Arial"/>
                <w:b/>
                <w:bCs/>
              </w:rPr>
              <w:t>1</w:t>
            </w:r>
            <w:r w:rsidR="003E1DDE">
              <w:rPr>
                <w:rFonts w:cs="Arial"/>
                <w:b/>
                <w:bCs/>
              </w:rPr>
              <w:t>.</w:t>
            </w:r>
          </w:p>
        </w:tc>
        <w:tc>
          <w:tcPr>
            <w:tcW w:w="8904" w:type="dxa"/>
          </w:tcPr>
          <w:p w14:paraId="6CBCCDB4" w14:textId="77777777" w:rsidR="009D553A" w:rsidRDefault="003E1DDE">
            <w:pPr>
              <w:rPr>
                <w:rFonts w:cs="Arial"/>
                <w:b/>
                <w:bCs/>
              </w:rPr>
            </w:pPr>
            <w:r>
              <w:rPr>
                <w:rFonts w:cs="Arial"/>
                <w:b/>
                <w:bCs/>
              </w:rPr>
              <w:t>Summary</w:t>
            </w:r>
          </w:p>
          <w:p w14:paraId="681ECB4A" w14:textId="4B810D5F" w:rsidR="003E1DDE" w:rsidRPr="009D553A" w:rsidRDefault="003E1DDE">
            <w:pPr>
              <w:rPr>
                <w:rFonts w:cs="Arial"/>
                <w:b/>
                <w:bCs/>
              </w:rPr>
            </w:pPr>
          </w:p>
        </w:tc>
      </w:tr>
      <w:tr w:rsidR="003E1DDE" w14:paraId="27DA2029" w14:textId="77777777" w:rsidTr="003A7469">
        <w:tc>
          <w:tcPr>
            <w:tcW w:w="421" w:type="dxa"/>
          </w:tcPr>
          <w:p w14:paraId="3FA9E55B" w14:textId="3283CDD5" w:rsidR="003E1DDE" w:rsidRDefault="003E1DDE">
            <w:pPr>
              <w:rPr>
                <w:rFonts w:cs="Arial"/>
                <w:b/>
                <w:bCs/>
              </w:rPr>
            </w:pPr>
            <w:r>
              <w:rPr>
                <w:rFonts w:cs="Arial"/>
                <w:b/>
                <w:bCs/>
              </w:rPr>
              <w:t>1.1</w:t>
            </w:r>
          </w:p>
        </w:tc>
        <w:tc>
          <w:tcPr>
            <w:tcW w:w="8904" w:type="dxa"/>
          </w:tcPr>
          <w:p w14:paraId="1CE4B22D" w14:textId="77777777" w:rsidR="003E1DDE" w:rsidRDefault="003E1DDE">
            <w:r w:rsidRPr="003E1DDE">
              <w:t>This report seeks to provide the Performance and Quality subgroup with an overview of how Somerset Council works to ensure the adult care market is sustainable and able to meet the diverse needs of the county.  It is submitted at the specific and direct request of the Safeguarding Adults Board.</w:t>
            </w:r>
          </w:p>
          <w:p w14:paraId="73D0AF18" w14:textId="05F3AF7E" w:rsidR="003E1DDE" w:rsidRPr="003E1DDE" w:rsidRDefault="003E1DDE">
            <w:pPr>
              <w:rPr>
                <w:rFonts w:cs="Arial"/>
              </w:rPr>
            </w:pPr>
          </w:p>
        </w:tc>
      </w:tr>
      <w:tr w:rsidR="003E1DDE" w14:paraId="188E6CD5" w14:textId="77777777" w:rsidTr="003A7469">
        <w:tc>
          <w:tcPr>
            <w:tcW w:w="421" w:type="dxa"/>
          </w:tcPr>
          <w:p w14:paraId="46CF3706" w14:textId="2EDABC21" w:rsidR="003E1DDE" w:rsidRPr="003E1DDE" w:rsidRDefault="003E1DDE">
            <w:pPr>
              <w:rPr>
                <w:rFonts w:cs="Arial"/>
                <w:b/>
                <w:bCs/>
              </w:rPr>
            </w:pPr>
            <w:r>
              <w:rPr>
                <w:rFonts w:cs="Arial"/>
                <w:b/>
                <w:bCs/>
              </w:rPr>
              <w:t>2.</w:t>
            </w:r>
          </w:p>
        </w:tc>
        <w:tc>
          <w:tcPr>
            <w:tcW w:w="8904" w:type="dxa"/>
          </w:tcPr>
          <w:p w14:paraId="35ED0EA7" w14:textId="77777777" w:rsidR="003E1DDE" w:rsidRDefault="003E1DDE">
            <w:pPr>
              <w:rPr>
                <w:b/>
                <w:bCs/>
              </w:rPr>
            </w:pPr>
            <w:r>
              <w:rPr>
                <w:b/>
                <w:bCs/>
              </w:rPr>
              <w:t>Issues for consideration / recommendations</w:t>
            </w:r>
          </w:p>
          <w:p w14:paraId="167EC669" w14:textId="32521AEE" w:rsidR="003E1DDE" w:rsidRPr="003E1DDE" w:rsidRDefault="003E1DDE">
            <w:pPr>
              <w:rPr>
                <w:b/>
                <w:bCs/>
              </w:rPr>
            </w:pPr>
          </w:p>
        </w:tc>
      </w:tr>
      <w:tr w:rsidR="003E1DDE" w14:paraId="2BB572E6" w14:textId="77777777" w:rsidTr="003A7469">
        <w:tc>
          <w:tcPr>
            <w:tcW w:w="421" w:type="dxa"/>
          </w:tcPr>
          <w:p w14:paraId="00CCE0EE" w14:textId="0B5518DB" w:rsidR="003E1DDE" w:rsidRPr="003E1DDE" w:rsidRDefault="003E1DDE">
            <w:pPr>
              <w:rPr>
                <w:rFonts w:cs="Arial"/>
              </w:rPr>
            </w:pPr>
            <w:r w:rsidRPr="003E1DDE">
              <w:rPr>
                <w:rFonts w:cs="Arial"/>
              </w:rPr>
              <w:t>2.1</w:t>
            </w:r>
          </w:p>
        </w:tc>
        <w:tc>
          <w:tcPr>
            <w:tcW w:w="8904" w:type="dxa"/>
          </w:tcPr>
          <w:p w14:paraId="1E54DB37" w14:textId="77777777" w:rsidR="003E1DDE" w:rsidRPr="003E1DDE" w:rsidRDefault="003E1DDE">
            <w:r w:rsidRPr="003E1DDE">
              <w:t>For members of the SSAB / Performance &amp; Quality subgroup to note the information provided within the report and its supporting appendices, and test assurance in relation to the following elements captured within the SSAB’s strategic plan:</w:t>
            </w:r>
          </w:p>
          <w:p w14:paraId="4EDDBD56" w14:textId="6CB72D2B" w:rsidR="003E1DDE" w:rsidRPr="003E1DDE" w:rsidRDefault="003E1DDE"/>
        </w:tc>
      </w:tr>
      <w:tr w:rsidR="003E1DDE" w14:paraId="02E329A1" w14:textId="77777777" w:rsidTr="003A7469">
        <w:tc>
          <w:tcPr>
            <w:tcW w:w="421" w:type="dxa"/>
          </w:tcPr>
          <w:p w14:paraId="4CBDE580" w14:textId="1A0A5268" w:rsidR="003E1DDE" w:rsidRPr="003E1DDE" w:rsidRDefault="003E1DDE">
            <w:pPr>
              <w:rPr>
                <w:rFonts w:cs="Arial"/>
              </w:rPr>
            </w:pPr>
            <w:r w:rsidRPr="003E1DDE">
              <w:rPr>
                <w:rFonts w:cs="Arial"/>
              </w:rPr>
              <w:t>2.2</w:t>
            </w:r>
          </w:p>
        </w:tc>
        <w:tc>
          <w:tcPr>
            <w:tcW w:w="8904" w:type="dxa"/>
          </w:tcPr>
          <w:p w14:paraId="0B9059FF" w14:textId="77777777" w:rsidR="003E1DDE" w:rsidRPr="003E1DDE" w:rsidRDefault="003E1DDE" w:rsidP="003E1DDE">
            <w:pPr>
              <w:pStyle w:val="ReportHead1"/>
              <w:numPr>
                <w:ilvl w:val="0"/>
                <w:numId w:val="25"/>
              </w:numPr>
              <w:rPr>
                <w:b w:val="0"/>
                <w:bCs w:val="0"/>
                <w:sz w:val="24"/>
                <w:szCs w:val="24"/>
              </w:rPr>
            </w:pPr>
            <w:r w:rsidRPr="003E1DDE">
              <w:rPr>
                <w:b w:val="0"/>
                <w:bCs w:val="0"/>
                <w:sz w:val="24"/>
                <w:szCs w:val="24"/>
              </w:rPr>
              <w:t>Ensure the care market is robust and able to meet the diverse care and support needs our clients require to fulfil engaging lives;</w:t>
            </w:r>
          </w:p>
          <w:p w14:paraId="001DE0DA" w14:textId="77777777" w:rsidR="003E1DDE" w:rsidRPr="003E1DDE" w:rsidRDefault="003E1DDE" w:rsidP="003E1DDE">
            <w:pPr>
              <w:pStyle w:val="ReportHead1"/>
              <w:numPr>
                <w:ilvl w:val="0"/>
                <w:numId w:val="25"/>
              </w:numPr>
              <w:rPr>
                <w:b w:val="0"/>
                <w:bCs w:val="0"/>
                <w:sz w:val="24"/>
                <w:szCs w:val="24"/>
              </w:rPr>
            </w:pPr>
            <w:r w:rsidRPr="003E1DDE">
              <w:rPr>
                <w:b w:val="0"/>
                <w:bCs w:val="0"/>
                <w:sz w:val="24"/>
                <w:szCs w:val="24"/>
              </w:rPr>
              <w:t>Seek assurance from commissioners that they have robust mechanisms to address market fragility;</w:t>
            </w:r>
          </w:p>
          <w:p w14:paraId="0CBDD5D1" w14:textId="77777777" w:rsidR="003E1DDE" w:rsidRDefault="003E1DDE" w:rsidP="003E1DDE">
            <w:pPr>
              <w:pStyle w:val="ReportHead1"/>
              <w:numPr>
                <w:ilvl w:val="0"/>
                <w:numId w:val="25"/>
              </w:numPr>
              <w:rPr>
                <w:b w:val="0"/>
                <w:bCs w:val="0"/>
                <w:sz w:val="24"/>
                <w:szCs w:val="24"/>
              </w:rPr>
            </w:pPr>
            <w:r w:rsidRPr="003E1DDE">
              <w:rPr>
                <w:b w:val="0"/>
                <w:bCs w:val="0"/>
                <w:sz w:val="24"/>
                <w:szCs w:val="24"/>
              </w:rPr>
              <w:t>Ensure commissioners can identify providers within the appropriate offer for clients’ needs within the cost envelope.  Levels of unmet need and contract handbacks are reduced.</w:t>
            </w:r>
          </w:p>
          <w:p w14:paraId="2C1A2AA8" w14:textId="6BAFEBB5" w:rsidR="003E1DDE" w:rsidRPr="003E1DDE" w:rsidRDefault="003E1DDE" w:rsidP="003E1DDE">
            <w:pPr>
              <w:pStyle w:val="ReportHead1"/>
              <w:numPr>
                <w:ilvl w:val="0"/>
                <w:numId w:val="0"/>
              </w:numPr>
              <w:ind w:left="360"/>
              <w:rPr>
                <w:b w:val="0"/>
                <w:bCs w:val="0"/>
                <w:sz w:val="24"/>
                <w:szCs w:val="24"/>
              </w:rPr>
            </w:pPr>
          </w:p>
        </w:tc>
      </w:tr>
      <w:tr w:rsidR="003E1DDE" w14:paraId="079BF798" w14:textId="77777777" w:rsidTr="003A7469">
        <w:tc>
          <w:tcPr>
            <w:tcW w:w="421" w:type="dxa"/>
          </w:tcPr>
          <w:p w14:paraId="707FFDB6" w14:textId="1D35FBF4" w:rsidR="003E1DDE" w:rsidRPr="003E1DDE" w:rsidRDefault="003E1DDE">
            <w:pPr>
              <w:rPr>
                <w:rFonts w:cs="Arial"/>
                <w:b/>
                <w:bCs/>
              </w:rPr>
            </w:pPr>
            <w:r>
              <w:rPr>
                <w:rFonts w:cs="Arial"/>
                <w:b/>
                <w:bCs/>
              </w:rPr>
              <w:t>3.</w:t>
            </w:r>
          </w:p>
        </w:tc>
        <w:tc>
          <w:tcPr>
            <w:tcW w:w="8904" w:type="dxa"/>
          </w:tcPr>
          <w:p w14:paraId="0B1696EE" w14:textId="77777777" w:rsidR="003E1DDE" w:rsidRDefault="005A6B80" w:rsidP="003E1DDE">
            <w:pPr>
              <w:pStyle w:val="ReportHead1"/>
              <w:numPr>
                <w:ilvl w:val="0"/>
                <w:numId w:val="0"/>
              </w:numPr>
              <w:ind w:left="357" w:hanging="357"/>
              <w:rPr>
                <w:sz w:val="24"/>
                <w:szCs w:val="24"/>
              </w:rPr>
            </w:pPr>
            <w:r>
              <w:rPr>
                <w:sz w:val="24"/>
                <w:szCs w:val="24"/>
              </w:rPr>
              <w:t>Background and detail</w:t>
            </w:r>
          </w:p>
          <w:p w14:paraId="79352A12" w14:textId="158B8B9F" w:rsidR="005A6B80" w:rsidRPr="005A6B80" w:rsidRDefault="005A6B80" w:rsidP="003E1DDE">
            <w:pPr>
              <w:pStyle w:val="ReportHead1"/>
              <w:numPr>
                <w:ilvl w:val="0"/>
                <w:numId w:val="0"/>
              </w:numPr>
              <w:ind w:left="357" w:hanging="357"/>
              <w:rPr>
                <w:sz w:val="24"/>
                <w:szCs w:val="24"/>
              </w:rPr>
            </w:pPr>
          </w:p>
        </w:tc>
      </w:tr>
      <w:tr w:rsidR="005A6B80" w14:paraId="5F120B8A" w14:textId="77777777" w:rsidTr="003A7469">
        <w:tc>
          <w:tcPr>
            <w:tcW w:w="421" w:type="dxa"/>
          </w:tcPr>
          <w:p w14:paraId="695FF881" w14:textId="7E059589" w:rsidR="005A6B80" w:rsidRDefault="005A6B80">
            <w:pPr>
              <w:rPr>
                <w:rFonts w:cs="Arial"/>
                <w:b/>
                <w:bCs/>
              </w:rPr>
            </w:pPr>
            <w:r>
              <w:rPr>
                <w:rFonts w:cs="Arial"/>
                <w:b/>
                <w:bCs/>
              </w:rPr>
              <w:t>3.1</w:t>
            </w:r>
          </w:p>
        </w:tc>
        <w:tc>
          <w:tcPr>
            <w:tcW w:w="8904" w:type="dxa"/>
          </w:tcPr>
          <w:p w14:paraId="0B5D7A35" w14:textId="3918A6FA" w:rsidR="005A6B80" w:rsidRPr="00D41C57" w:rsidRDefault="004660FE" w:rsidP="00D41C57">
            <w:pPr>
              <w:tabs>
                <w:tab w:val="num" w:pos="714"/>
              </w:tabs>
              <w:rPr>
                <w:rFonts w:cs="Arial"/>
              </w:rPr>
            </w:pPr>
            <w:r>
              <w:rPr>
                <w:rFonts w:cs="Arial"/>
                <w:b/>
                <w:bCs/>
              </w:rPr>
              <w:t xml:space="preserve">Strategy: </w:t>
            </w:r>
            <w:r w:rsidR="005A6B80" w:rsidRPr="00D41C57">
              <w:rPr>
                <w:rFonts w:cs="Arial"/>
              </w:rPr>
              <w:t>Adult Social Care’s overarching approach is set out in Adult Social Care Strategy 2023 – 2026</w:t>
            </w:r>
            <w:r w:rsidR="00554BC7" w:rsidRPr="00D41C57">
              <w:rPr>
                <w:rStyle w:val="FootnoteReference"/>
                <w:rFonts w:cs="Arial"/>
              </w:rPr>
              <w:footnoteReference w:id="1"/>
            </w:r>
            <w:r w:rsidR="00C354AE" w:rsidRPr="00D41C57">
              <w:rPr>
                <w:rFonts w:cs="Arial"/>
              </w:rPr>
              <w:t xml:space="preserve">. </w:t>
            </w:r>
            <w:r w:rsidR="00D41C57" w:rsidRPr="00D41C57">
              <w:rPr>
                <w:rFonts w:cs="Arial"/>
              </w:rPr>
              <w:t>It sets out how we will work to deliver our vision in partnership to ensure we deliver the right kind of care and support for our communities, and the best possible outcomes within the resources available to us.</w:t>
            </w:r>
          </w:p>
          <w:p w14:paraId="21CD6114" w14:textId="0A96A573" w:rsidR="00C354AE" w:rsidRDefault="00C354AE" w:rsidP="00C354AE">
            <w:pPr>
              <w:tabs>
                <w:tab w:val="num" w:pos="714"/>
              </w:tabs>
            </w:pPr>
          </w:p>
        </w:tc>
      </w:tr>
      <w:tr w:rsidR="00D54832" w14:paraId="453AB01A" w14:textId="77777777" w:rsidTr="003A7469">
        <w:tc>
          <w:tcPr>
            <w:tcW w:w="421" w:type="dxa"/>
          </w:tcPr>
          <w:p w14:paraId="2FCF0B3C" w14:textId="1CBFF8A7" w:rsidR="00D54832" w:rsidRDefault="00D54832">
            <w:pPr>
              <w:rPr>
                <w:rFonts w:cs="Arial"/>
                <w:b/>
                <w:bCs/>
              </w:rPr>
            </w:pPr>
            <w:r>
              <w:rPr>
                <w:rFonts w:cs="Arial"/>
                <w:b/>
                <w:bCs/>
              </w:rPr>
              <w:t>3.2</w:t>
            </w:r>
          </w:p>
        </w:tc>
        <w:tc>
          <w:tcPr>
            <w:tcW w:w="8904" w:type="dxa"/>
          </w:tcPr>
          <w:p w14:paraId="23EE43CB" w14:textId="77777777" w:rsidR="00D54832" w:rsidRPr="00CB7D5B" w:rsidRDefault="00D54832" w:rsidP="00D54832">
            <w:pPr>
              <w:tabs>
                <w:tab w:val="num" w:pos="714"/>
              </w:tabs>
              <w:rPr>
                <w:rFonts w:cs="Arial"/>
              </w:rPr>
            </w:pPr>
            <w:r w:rsidRPr="00CB7D5B">
              <w:rPr>
                <w:rFonts w:cs="Arial"/>
              </w:rPr>
              <w:t xml:space="preserve">There is a clear ‘golden thread’ across key strategies in Somerset, demonstrating shared commitment to: </w:t>
            </w:r>
          </w:p>
          <w:p w14:paraId="06AB85E3" w14:textId="77777777" w:rsidR="00D54832" w:rsidRPr="00CB7D5B" w:rsidRDefault="00D54832" w:rsidP="00D54832">
            <w:pPr>
              <w:tabs>
                <w:tab w:val="num" w:pos="714"/>
              </w:tabs>
              <w:rPr>
                <w:rFonts w:cs="Arial"/>
              </w:rPr>
            </w:pPr>
          </w:p>
          <w:p w14:paraId="7D3BFF59" w14:textId="77777777" w:rsidR="00D54832" w:rsidRPr="00CB7D5B" w:rsidRDefault="00D54832" w:rsidP="00D54832">
            <w:pPr>
              <w:numPr>
                <w:ilvl w:val="0"/>
                <w:numId w:val="26"/>
              </w:numPr>
              <w:rPr>
                <w:rFonts w:cs="Arial"/>
              </w:rPr>
            </w:pPr>
            <w:r w:rsidRPr="00CB7D5B">
              <w:rPr>
                <w:rFonts w:cs="Arial"/>
              </w:rPr>
              <w:t>Improving people’s health and wellbeing.</w:t>
            </w:r>
          </w:p>
          <w:p w14:paraId="6513A0F9" w14:textId="77777777" w:rsidR="00D54832" w:rsidRDefault="00D54832" w:rsidP="00D54832">
            <w:pPr>
              <w:numPr>
                <w:ilvl w:val="0"/>
                <w:numId w:val="26"/>
              </w:numPr>
              <w:rPr>
                <w:rFonts w:cs="Arial"/>
              </w:rPr>
            </w:pPr>
            <w:r w:rsidRPr="00CB7D5B">
              <w:rPr>
                <w:rFonts w:cs="Arial"/>
              </w:rPr>
              <w:t xml:space="preserve">Focusing on prevention and early intervention. </w:t>
            </w:r>
          </w:p>
          <w:p w14:paraId="01BFE7C8" w14:textId="4F5AAFB5" w:rsidR="00D54832" w:rsidRPr="00CB7D5B" w:rsidRDefault="00D54832" w:rsidP="00D54832">
            <w:pPr>
              <w:numPr>
                <w:ilvl w:val="0"/>
                <w:numId w:val="26"/>
              </w:numPr>
              <w:rPr>
                <w:rFonts w:cs="Arial"/>
              </w:rPr>
            </w:pPr>
            <w:r w:rsidRPr="00CB7D5B">
              <w:rPr>
                <w:rFonts w:cs="Arial"/>
              </w:rPr>
              <w:t>Investing in our communities and neighbourhoods.</w:t>
            </w:r>
          </w:p>
          <w:p w14:paraId="3A2B8D3E" w14:textId="77777777" w:rsidR="00D54832" w:rsidRPr="00CB7D5B" w:rsidRDefault="00D54832" w:rsidP="00D54832">
            <w:pPr>
              <w:numPr>
                <w:ilvl w:val="0"/>
                <w:numId w:val="26"/>
              </w:numPr>
              <w:rPr>
                <w:rFonts w:cs="Arial"/>
              </w:rPr>
            </w:pPr>
            <w:r w:rsidRPr="00CB7D5B">
              <w:rPr>
                <w:rFonts w:cs="Arial"/>
              </w:rPr>
              <w:t>Promoting people’s independence whilst ensuring easy access to high quality support when required.</w:t>
            </w:r>
          </w:p>
          <w:p w14:paraId="33D65619" w14:textId="77777777" w:rsidR="00D54832" w:rsidRPr="00CB7D5B" w:rsidRDefault="00D54832" w:rsidP="00D54832">
            <w:pPr>
              <w:numPr>
                <w:ilvl w:val="0"/>
                <w:numId w:val="26"/>
              </w:numPr>
              <w:rPr>
                <w:rFonts w:cs="Arial"/>
              </w:rPr>
            </w:pPr>
            <w:r w:rsidRPr="00CB7D5B">
              <w:rPr>
                <w:rFonts w:cs="Arial"/>
              </w:rPr>
              <w:t xml:space="preserve">Reducing inequalities and improving outcomes for those with more complex needs. </w:t>
            </w:r>
          </w:p>
          <w:p w14:paraId="40B1CE01" w14:textId="77777777" w:rsidR="00D54832" w:rsidRPr="00CB7D5B" w:rsidRDefault="00D54832" w:rsidP="00D54832">
            <w:pPr>
              <w:numPr>
                <w:ilvl w:val="0"/>
                <w:numId w:val="26"/>
              </w:numPr>
              <w:rPr>
                <w:rFonts w:cs="Arial"/>
              </w:rPr>
            </w:pPr>
            <w:r w:rsidRPr="00CB7D5B">
              <w:rPr>
                <w:rFonts w:cs="Arial"/>
              </w:rPr>
              <w:t>Supporting the wider health and care workforce.</w:t>
            </w:r>
          </w:p>
          <w:p w14:paraId="34EEB8F7" w14:textId="77777777" w:rsidR="00D54832" w:rsidRPr="00CB7D5B" w:rsidRDefault="00D54832" w:rsidP="005A6B80">
            <w:pPr>
              <w:tabs>
                <w:tab w:val="num" w:pos="714"/>
              </w:tabs>
              <w:rPr>
                <w:rFonts w:cs="Arial"/>
              </w:rPr>
            </w:pPr>
          </w:p>
        </w:tc>
      </w:tr>
      <w:tr w:rsidR="004660FE" w14:paraId="7491FF39" w14:textId="77777777" w:rsidTr="003A7469">
        <w:tc>
          <w:tcPr>
            <w:tcW w:w="421" w:type="dxa"/>
          </w:tcPr>
          <w:p w14:paraId="6B29587C" w14:textId="4D5E8EC2" w:rsidR="004660FE" w:rsidRDefault="004660FE">
            <w:pPr>
              <w:rPr>
                <w:rFonts w:cs="Arial"/>
                <w:b/>
                <w:bCs/>
              </w:rPr>
            </w:pPr>
            <w:r>
              <w:rPr>
                <w:rFonts w:cs="Arial"/>
                <w:b/>
                <w:bCs/>
              </w:rPr>
              <w:lastRenderedPageBreak/>
              <w:t>3.3</w:t>
            </w:r>
          </w:p>
        </w:tc>
        <w:tc>
          <w:tcPr>
            <w:tcW w:w="8904" w:type="dxa"/>
          </w:tcPr>
          <w:p w14:paraId="60C71385" w14:textId="73C07450" w:rsidR="004660FE" w:rsidRDefault="004660FE" w:rsidP="00196EF9">
            <w:pPr>
              <w:tabs>
                <w:tab w:val="num" w:pos="714"/>
              </w:tabs>
              <w:rPr>
                <w:rFonts w:cs="Arial"/>
              </w:rPr>
            </w:pPr>
            <w:r>
              <w:rPr>
                <w:rFonts w:cs="Arial"/>
                <w:b/>
                <w:bCs/>
              </w:rPr>
              <w:t xml:space="preserve">Market Position Statement: </w:t>
            </w:r>
            <w:r w:rsidRPr="004660FE">
              <w:rPr>
                <w:rFonts w:cs="Arial"/>
              </w:rPr>
              <w:t>Adult social Care has a duty to develop and publish a Market Position Statement (MPS). Adult Social Care were proposing to publish a new</w:t>
            </w:r>
            <w:r w:rsidR="009D12B9">
              <w:rPr>
                <w:rFonts w:cs="Arial"/>
              </w:rPr>
              <w:t xml:space="preserve"> MPS</w:t>
            </w:r>
            <w:r w:rsidR="009D12B9" w:rsidRPr="00CB7D5B">
              <w:rPr>
                <w:rFonts w:cs="Arial"/>
              </w:rPr>
              <w:t xml:space="preserve"> in the autumn of 2023. However due the Council’s financial position </w:t>
            </w:r>
            <w:r w:rsidR="005578FF">
              <w:rPr>
                <w:rFonts w:cs="Arial"/>
              </w:rPr>
              <w:t>a decision was taken</w:t>
            </w:r>
            <w:r w:rsidR="009D12B9" w:rsidRPr="00CB7D5B">
              <w:rPr>
                <w:rFonts w:cs="Arial"/>
              </w:rPr>
              <w:t xml:space="preserve"> to defer publication </w:t>
            </w:r>
            <w:r w:rsidR="005578FF">
              <w:rPr>
                <w:rFonts w:cs="Arial"/>
              </w:rPr>
              <w:t xml:space="preserve">until </w:t>
            </w:r>
            <w:r w:rsidR="009D12B9" w:rsidRPr="00CB7D5B">
              <w:rPr>
                <w:rFonts w:cs="Arial"/>
              </w:rPr>
              <w:t xml:space="preserve">February 2024, after the Council’s 2024/25 budget had been agreed. </w:t>
            </w:r>
            <w:r w:rsidR="009D12B9" w:rsidRPr="00474F8A">
              <w:rPr>
                <w:rFonts w:cs="Arial"/>
                <w:i/>
                <w:iCs/>
              </w:rPr>
              <w:t xml:space="preserve">Attached as </w:t>
            </w:r>
            <w:r w:rsidR="00C245BA" w:rsidRPr="00474F8A">
              <w:rPr>
                <w:rFonts w:cs="Arial"/>
                <w:i/>
                <w:iCs/>
              </w:rPr>
              <w:t>A</w:t>
            </w:r>
            <w:r w:rsidR="009D12B9" w:rsidRPr="00474F8A">
              <w:rPr>
                <w:rFonts w:cs="Arial"/>
                <w:i/>
                <w:iCs/>
              </w:rPr>
              <w:t xml:space="preserve">ppendix </w:t>
            </w:r>
            <w:r w:rsidR="00474F8A" w:rsidRPr="00474F8A">
              <w:rPr>
                <w:rFonts w:cs="Arial"/>
                <w:i/>
                <w:iCs/>
              </w:rPr>
              <w:t>1</w:t>
            </w:r>
            <w:r w:rsidR="009D12B9" w:rsidRPr="00474F8A">
              <w:rPr>
                <w:rFonts w:cs="Arial"/>
                <w:i/>
                <w:iCs/>
              </w:rPr>
              <w:t xml:space="preserve"> is the draft MPS (2023-26)</w:t>
            </w:r>
            <w:r w:rsidR="00C245BA" w:rsidRPr="00474F8A">
              <w:rPr>
                <w:rFonts w:cs="Arial"/>
                <w:i/>
                <w:iCs/>
              </w:rPr>
              <w:t xml:space="preserve">; </w:t>
            </w:r>
            <w:r w:rsidR="009D12B9" w:rsidRPr="00474F8A">
              <w:rPr>
                <w:rFonts w:cs="Arial"/>
                <w:i/>
                <w:iCs/>
              </w:rPr>
              <w:t>this has not yet been published</w:t>
            </w:r>
            <w:r w:rsidR="00C245BA" w:rsidRPr="00474F8A">
              <w:rPr>
                <w:rFonts w:cs="Arial"/>
                <w:i/>
                <w:iCs/>
              </w:rPr>
              <w:t xml:space="preserve"> and is subject to </w:t>
            </w:r>
            <w:r w:rsidR="000D0849">
              <w:rPr>
                <w:rFonts w:cs="Arial"/>
                <w:i/>
                <w:iCs/>
              </w:rPr>
              <w:t>revision.</w:t>
            </w:r>
          </w:p>
          <w:p w14:paraId="2C347C51" w14:textId="5B141617" w:rsidR="00121762" w:rsidRPr="00196EF9" w:rsidRDefault="00121762" w:rsidP="00196EF9">
            <w:pPr>
              <w:tabs>
                <w:tab w:val="num" w:pos="714"/>
              </w:tabs>
              <w:rPr>
                <w:rFonts w:cs="Arial"/>
              </w:rPr>
            </w:pPr>
          </w:p>
        </w:tc>
      </w:tr>
      <w:tr w:rsidR="00196EF9" w14:paraId="740461DA" w14:textId="77777777" w:rsidTr="003A7469">
        <w:tc>
          <w:tcPr>
            <w:tcW w:w="421" w:type="dxa"/>
          </w:tcPr>
          <w:p w14:paraId="728F56B9" w14:textId="5EE5E999" w:rsidR="00196EF9" w:rsidRDefault="00121762">
            <w:pPr>
              <w:rPr>
                <w:rFonts w:cs="Arial"/>
                <w:b/>
                <w:bCs/>
              </w:rPr>
            </w:pPr>
            <w:r>
              <w:rPr>
                <w:rFonts w:cs="Arial"/>
                <w:b/>
                <w:bCs/>
              </w:rPr>
              <w:t>3.4</w:t>
            </w:r>
          </w:p>
        </w:tc>
        <w:tc>
          <w:tcPr>
            <w:tcW w:w="8904" w:type="dxa"/>
          </w:tcPr>
          <w:p w14:paraId="0E77F78D" w14:textId="30CFB2E9" w:rsidR="00121762" w:rsidRPr="00CB7D5B" w:rsidRDefault="00121762" w:rsidP="00121762">
            <w:pPr>
              <w:pStyle w:val="Default"/>
              <w:shd w:val="clear" w:color="auto" w:fill="FFFFFF"/>
              <w:rPr>
                <w:rFonts w:eastAsia="Calibri"/>
              </w:rPr>
            </w:pPr>
            <w:r w:rsidRPr="00CB7D5B">
              <w:rPr>
                <w:rFonts w:eastAsia="Calibri"/>
              </w:rPr>
              <w:t>The purpose of a Market Position Statement (MPS) is to outline what services are delivered within a local authority area and to signal to the care market further development opportunities for care and support services.  They were introduced as part of Local Authority market shaping duties under The Care Act 2014 and are a starting point for market engagement and facilitation.</w:t>
            </w:r>
          </w:p>
          <w:p w14:paraId="7FFEFB87" w14:textId="77777777" w:rsidR="00196EF9" w:rsidRDefault="00196EF9" w:rsidP="009D12B9">
            <w:pPr>
              <w:tabs>
                <w:tab w:val="num" w:pos="714"/>
              </w:tabs>
              <w:rPr>
                <w:rFonts w:cs="Arial"/>
                <w:b/>
                <w:bCs/>
              </w:rPr>
            </w:pPr>
          </w:p>
        </w:tc>
      </w:tr>
      <w:tr w:rsidR="00700062" w14:paraId="690DF54C" w14:textId="77777777" w:rsidTr="003A7469">
        <w:tc>
          <w:tcPr>
            <w:tcW w:w="421" w:type="dxa"/>
          </w:tcPr>
          <w:p w14:paraId="34A33B79" w14:textId="5140D771" w:rsidR="00700062" w:rsidRDefault="00700062">
            <w:pPr>
              <w:rPr>
                <w:rFonts w:cs="Arial"/>
                <w:b/>
                <w:bCs/>
              </w:rPr>
            </w:pPr>
            <w:r>
              <w:rPr>
                <w:rFonts w:cs="Arial"/>
                <w:b/>
                <w:bCs/>
              </w:rPr>
              <w:t>3.5</w:t>
            </w:r>
          </w:p>
        </w:tc>
        <w:tc>
          <w:tcPr>
            <w:tcW w:w="8904" w:type="dxa"/>
          </w:tcPr>
          <w:p w14:paraId="1FD703B5" w14:textId="77777777" w:rsidR="00700062" w:rsidRPr="00CB7D5B" w:rsidRDefault="00700062" w:rsidP="00700062">
            <w:pPr>
              <w:pStyle w:val="Default"/>
              <w:shd w:val="clear" w:color="auto" w:fill="FFFFFF"/>
              <w:rPr>
                <w:rFonts w:eastAsia="Calibri"/>
              </w:rPr>
            </w:pPr>
            <w:r w:rsidRPr="00CB7D5B">
              <w:rPr>
                <w:rFonts w:eastAsia="Calibri"/>
              </w:rPr>
              <w:t>Our MPS sets out:</w:t>
            </w:r>
          </w:p>
          <w:p w14:paraId="16B601FC" w14:textId="77777777" w:rsidR="00700062" w:rsidRPr="00CB7D5B" w:rsidRDefault="00700062" w:rsidP="00700062">
            <w:pPr>
              <w:pStyle w:val="Default"/>
              <w:shd w:val="clear" w:color="auto" w:fill="FFFFFF"/>
            </w:pPr>
          </w:p>
          <w:p w14:paraId="5F76E21C" w14:textId="77777777" w:rsidR="00700062" w:rsidRPr="00CB7D5B" w:rsidRDefault="00700062" w:rsidP="00700062">
            <w:pPr>
              <w:pStyle w:val="Default"/>
              <w:numPr>
                <w:ilvl w:val="0"/>
                <w:numId w:val="27"/>
              </w:numPr>
              <w:shd w:val="clear" w:color="auto" w:fill="FFFFFF"/>
              <w:ind w:left="360"/>
            </w:pPr>
            <w:r w:rsidRPr="00CB7D5B">
              <w:rPr>
                <w:rFonts w:eastAsia="Calibri"/>
              </w:rPr>
              <w:t>How we see Somerset changing, our ambitions in responding to that change, and what changes mean for people relying on local care and support services as well as for our care market;</w:t>
            </w:r>
          </w:p>
          <w:p w14:paraId="4ED93707" w14:textId="77777777" w:rsidR="00700062" w:rsidRPr="00CB7D5B" w:rsidRDefault="00700062" w:rsidP="00700062">
            <w:pPr>
              <w:pStyle w:val="Default"/>
              <w:numPr>
                <w:ilvl w:val="0"/>
                <w:numId w:val="27"/>
              </w:numPr>
              <w:shd w:val="clear" w:color="auto" w:fill="FFFFFF"/>
              <w:ind w:left="360"/>
            </w:pPr>
            <w:r w:rsidRPr="00CB7D5B">
              <w:rPr>
                <w:rFonts w:eastAsia="Calibri"/>
              </w:rPr>
              <w:t>What services and support are available, any gaps, and how services should be delivered, to help both current and prospective providers;</w:t>
            </w:r>
          </w:p>
          <w:p w14:paraId="5186DAD6" w14:textId="77777777" w:rsidR="00700062" w:rsidRPr="00CB7D5B" w:rsidRDefault="00700062" w:rsidP="00700062">
            <w:pPr>
              <w:pStyle w:val="Default"/>
              <w:numPr>
                <w:ilvl w:val="0"/>
                <w:numId w:val="27"/>
              </w:numPr>
              <w:shd w:val="clear" w:color="auto" w:fill="FFFFFF"/>
              <w:ind w:left="360"/>
            </w:pPr>
            <w:r w:rsidRPr="00CB7D5B">
              <w:rPr>
                <w:rFonts w:eastAsia="Calibri"/>
              </w:rPr>
              <w:t>Our commissioning intentions to support and guide local care providers to shape and develop their services to meet local need and demand, setting out future needs and opportunities for providers.</w:t>
            </w:r>
          </w:p>
          <w:p w14:paraId="752D61CD" w14:textId="77777777" w:rsidR="00700062" w:rsidRPr="00CB7D5B" w:rsidRDefault="00700062" w:rsidP="00121762">
            <w:pPr>
              <w:pStyle w:val="Default"/>
              <w:shd w:val="clear" w:color="auto" w:fill="FFFFFF"/>
              <w:rPr>
                <w:rFonts w:eastAsia="Calibri"/>
              </w:rPr>
            </w:pPr>
          </w:p>
        </w:tc>
      </w:tr>
      <w:tr w:rsidR="00880E33" w14:paraId="64008EBA" w14:textId="77777777" w:rsidTr="003A7469">
        <w:tc>
          <w:tcPr>
            <w:tcW w:w="421" w:type="dxa"/>
          </w:tcPr>
          <w:p w14:paraId="70A619D6" w14:textId="6EEA964E" w:rsidR="00880E33" w:rsidRDefault="00880E33">
            <w:pPr>
              <w:rPr>
                <w:rFonts w:cs="Arial"/>
                <w:b/>
                <w:bCs/>
              </w:rPr>
            </w:pPr>
            <w:r>
              <w:rPr>
                <w:rFonts w:cs="Arial"/>
                <w:b/>
                <w:bCs/>
              </w:rPr>
              <w:t>3.6</w:t>
            </w:r>
          </w:p>
        </w:tc>
        <w:tc>
          <w:tcPr>
            <w:tcW w:w="8904" w:type="dxa"/>
          </w:tcPr>
          <w:p w14:paraId="12D5DA0C" w14:textId="77777777" w:rsidR="00880E33" w:rsidRPr="001B2CA6" w:rsidRDefault="00880E33" w:rsidP="00880E33">
            <w:pPr>
              <w:pStyle w:val="Default"/>
              <w:rPr>
                <w:color w:val="auto"/>
              </w:rPr>
            </w:pPr>
            <w:r w:rsidRPr="001B2CA6">
              <w:rPr>
                <w:color w:val="auto"/>
              </w:rPr>
              <w:t>Key principles with the Council’s Market Position Statement are:</w:t>
            </w:r>
          </w:p>
          <w:p w14:paraId="311AC0E6" w14:textId="77777777" w:rsidR="00880E33" w:rsidRPr="00CB7D5B" w:rsidRDefault="00880E33" w:rsidP="00880E33">
            <w:pPr>
              <w:pStyle w:val="Default"/>
              <w:jc w:val="both"/>
              <w:rPr>
                <w:color w:val="auto"/>
              </w:rPr>
            </w:pPr>
          </w:p>
          <w:p w14:paraId="6A66F66B" w14:textId="77777777" w:rsidR="00880E33" w:rsidRPr="00CB7D5B" w:rsidRDefault="00880E33" w:rsidP="00880E33">
            <w:pPr>
              <w:pStyle w:val="Default"/>
              <w:numPr>
                <w:ilvl w:val="0"/>
                <w:numId w:val="28"/>
              </w:numPr>
              <w:jc w:val="both"/>
              <w:rPr>
                <w:color w:val="auto"/>
              </w:rPr>
            </w:pPr>
            <w:r w:rsidRPr="00CB7D5B">
              <w:rPr>
                <w:color w:val="auto"/>
              </w:rPr>
              <w:t>The care and support needs of people and communities are understood.</w:t>
            </w:r>
          </w:p>
          <w:p w14:paraId="0B084FED" w14:textId="77777777" w:rsidR="00880E33" w:rsidRPr="005D151E" w:rsidRDefault="00880E33" w:rsidP="00880E33">
            <w:pPr>
              <w:pStyle w:val="Default"/>
              <w:ind w:left="360"/>
              <w:jc w:val="both"/>
              <w:rPr>
                <w:color w:val="auto"/>
                <w:sz w:val="12"/>
                <w:szCs w:val="12"/>
              </w:rPr>
            </w:pPr>
          </w:p>
          <w:p w14:paraId="58EEDD89" w14:textId="77777777" w:rsidR="00880E33" w:rsidRPr="00CB7D5B" w:rsidRDefault="00880E33" w:rsidP="00880E33">
            <w:pPr>
              <w:pStyle w:val="Default"/>
              <w:numPr>
                <w:ilvl w:val="0"/>
                <w:numId w:val="28"/>
              </w:numPr>
              <w:jc w:val="both"/>
              <w:rPr>
                <w:color w:val="auto"/>
              </w:rPr>
            </w:pPr>
            <w:r w:rsidRPr="00CB7D5B">
              <w:rPr>
                <w:color w:val="auto"/>
              </w:rPr>
              <w:t>There is a varied and resilient provider market with sufficient capacity to meet demand now and into the future.</w:t>
            </w:r>
          </w:p>
          <w:p w14:paraId="5EB5B193" w14:textId="77777777" w:rsidR="00880E33" w:rsidRPr="005D151E" w:rsidRDefault="00880E33" w:rsidP="00880E33">
            <w:pPr>
              <w:pStyle w:val="Default"/>
              <w:jc w:val="both"/>
              <w:rPr>
                <w:color w:val="auto"/>
                <w:sz w:val="12"/>
                <w:szCs w:val="12"/>
              </w:rPr>
            </w:pPr>
          </w:p>
          <w:p w14:paraId="7B6A4850" w14:textId="77777777" w:rsidR="00880E33" w:rsidRPr="00CB7D5B" w:rsidRDefault="00880E33" w:rsidP="00880E33">
            <w:pPr>
              <w:pStyle w:val="Default"/>
              <w:numPr>
                <w:ilvl w:val="0"/>
                <w:numId w:val="28"/>
              </w:numPr>
              <w:jc w:val="both"/>
              <w:rPr>
                <w:color w:val="auto"/>
              </w:rPr>
            </w:pPr>
            <w:r w:rsidRPr="00CB7D5B">
              <w:rPr>
                <w:color w:val="auto"/>
              </w:rPr>
              <w:t>Local people, including those who fund or arrange their own care, have access to a diverse range of safe, effective, high quality support options to meet their care and support needs.</w:t>
            </w:r>
          </w:p>
          <w:p w14:paraId="37652531" w14:textId="77777777" w:rsidR="00880E33" w:rsidRPr="005D151E" w:rsidRDefault="00880E33" w:rsidP="00880E33">
            <w:pPr>
              <w:pStyle w:val="Default"/>
              <w:jc w:val="both"/>
              <w:rPr>
                <w:color w:val="auto"/>
                <w:sz w:val="12"/>
                <w:szCs w:val="12"/>
              </w:rPr>
            </w:pPr>
          </w:p>
          <w:p w14:paraId="3E5093A8" w14:textId="77777777" w:rsidR="00880E33" w:rsidRPr="00CB7D5B" w:rsidRDefault="00880E33" w:rsidP="00880E33">
            <w:pPr>
              <w:pStyle w:val="Default"/>
              <w:numPr>
                <w:ilvl w:val="0"/>
                <w:numId w:val="28"/>
              </w:numPr>
              <w:jc w:val="both"/>
              <w:rPr>
                <w:color w:val="auto"/>
              </w:rPr>
            </w:pPr>
            <w:r w:rsidRPr="00CB7D5B">
              <w:rPr>
                <w:color w:val="auto"/>
              </w:rPr>
              <w:t>Services are sustainable, affordable and provide continuity for people.</w:t>
            </w:r>
          </w:p>
          <w:p w14:paraId="343D591E" w14:textId="77777777" w:rsidR="00880E33" w:rsidRPr="005D151E" w:rsidRDefault="00880E33" w:rsidP="00880E33">
            <w:pPr>
              <w:pStyle w:val="Default"/>
              <w:jc w:val="both"/>
              <w:rPr>
                <w:color w:val="auto"/>
                <w:sz w:val="12"/>
                <w:szCs w:val="12"/>
              </w:rPr>
            </w:pPr>
          </w:p>
          <w:p w14:paraId="30909982" w14:textId="77777777" w:rsidR="00880E33" w:rsidRPr="00CB7D5B" w:rsidRDefault="00880E33" w:rsidP="00880E33">
            <w:pPr>
              <w:pStyle w:val="Default"/>
              <w:numPr>
                <w:ilvl w:val="0"/>
                <w:numId w:val="28"/>
              </w:numPr>
              <w:jc w:val="both"/>
              <w:rPr>
                <w:color w:val="auto"/>
              </w:rPr>
            </w:pPr>
            <w:r w:rsidRPr="00CB7D5B">
              <w:rPr>
                <w:color w:val="auto"/>
              </w:rPr>
              <w:t>We actively work towards integrating care and support services with those provided by partner agencies to achieve better outcomes for people who need care and support and unpaid carers and to reduce inequalities.</w:t>
            </w:r>
          </w:p>
          <w:p w14:paraId="365DE040" w14:textId="77777777" w:rsidR="00880E33" w:rsidRPr="005D151E" w:rsidRDefault="00880E33" w:rsidP="00880E33">
            <w:pPr>
              <w:pStyle w:val="Default"/>
              <w:jc w:val="both"/>
              <w:rPr>
                <w:color w:val="auto"/>
                <w:sz w:val="12"/>
                <w:szCs w:val="12"/>
              </w:rPr>
            </w:pPr>
          </w:p>
          <w:p w14:paraId="4A70D0CA" w14:textId="341E304B" w:rsidR="00880E33" w:rsidRPr="00CB7D5B" w:rsidRDefault="00880E33" w:rsidP="00880E33">
            <w:pPr>
              <w:pStyle w:val="Default"/>
              <w:numPr>
                <w:ilvl w:val="0"/>
                <w:numId w:val="28"/>
              </w:numPr>
              <w:jc w:val="both"/>
              <w:rPr>
                <w:color w:val="auto"/>
              </w:rPr>
            </w:pPr>
            <w:r w:rsidRPr="00CB7D5B">
              <w:rPr>
                <w:color w:val="auto"/>
              </w:rPr>
              <w:t>Partnership working helps ensure that care and support meets the diverse needs o</w:t>
            </w:r>
            <w:r w:rsidR="005578FF">
              <w:rPr>
                <w:color w:val="auto"/>
              </w:rPr>
              <w:t>f</w:t>
            </w:r>
            <w:r w:rsidRPr="00CB7D5B">
              <w:rPr>
                <w:color w:val="auto"/>
              </w:rPr>
              <w:t xml:space="preserve"> individuals and communities. </w:t>
            </w:r>
          </w:p>
          <w:p w14:paraId="6506B18B" w14:textId="77777777" w:rsidR="00880E33" w:rsidRPr="005D151E" w:rsidRDefault="00880E33" w:rsidP="00880E33">
            <w:pPr>
              <w:pStyle w:val="Default"/>
              <w:jc w:val="both"/>
              <w:rPr>
                <w:color w:val="auto"/>
                <w:sz w:val="12"/>
                <w:szCs w:val="12"/>
              </w:rPr>
            </w:pPr>
          </w:p>
          <w:p w14:paraId="4CD60B5F" w14:textId="77777777" w:rsidR="00880E33" w:rsidRPr="00CB7D5B" w:rsidRDefault="00880E33" w:rsidP="00880E33">
            <w:pPr>
              <w:pStyle w:val="Default"/>
              <w:numPr>
                <w:ilvl w:val="0"/>
                <w:numId w:val="28"/>
              </w:numPr>
              <w:jc w:val="both"/>
              <w:rPr>
                <w:color w:val="auto"/>
              </w:rPr>
            </w:pPr>
            <w:r w:rsidRPr="00CB7D5B">
              <w:rPr>
                <w:color w:val="auto"/>
              </w:rPr>
              <w:t>People experience seamless care and support journeys, and their support is well coordinated across different agencies and services.</w:t>
            </w:r>
          </w:p>
          <w:p w14:paraId="2F3A2094" w14:textId="77777777" w:rsidR="00880E33" w:rsidRPr="00CB7D5B" w:rsidRDefault="00880E33" w:rsidP="00700062">
            <w:pPr>
              <w:pStyle w:val="Default"/>
              <w:shd w:val="clear" w:color="auto" w:fill="FFFFFF"/>
              <w:rPr>
                <w:rFonts w:eastAsia="Calibri"/>
              </w:rPr>
            </w:pPr>
          </w:p>
        </w:tc>
      </w:tr>
      <w:tr w:rsidR="001B2CA6" w14:paraId="19D7A7D1" w14:textId="77777777" w:rsidTr="003A7469">
        <w:tc>
          <w:tcPr>
            <w:tcW w:w="421" w:type="dxa"/>
          </w:tcPr>
          <w:p w14:paraId="13737220" w14:textId="7A3D27DB" w:rsidR="001B2CA6" w:rsidRDefault="001B2CA6">
            <w:pPr>
              <w:rPr>
                <w:rFonts w:cs="Arial"/>
                <w:b/>
                <w:bCs/>
              </w:rPr>
            </w:pPr>
            <w:r>
              <w:rPr>
                <w:rFonts w:cs="Arial"/>
                <w:b/>
                <w:bCs/>
              </w:rPr>
              <w:t>3.7</w:t>
            </w:r>
          </w:p>
        </w:tc>
        <w:tc>
          <w:tcPr>
            <w:tcW w:w="8904" w:type="dxa"/>
          </w:tcPr>
          <w:p w14:paraId="7E69004B" w14:textId="139033B8" w:rsidR="001B2CA6" w:rsidRPr="00CB7D5B" w:rsidRDefault="001B2CA6" w:rsidP="001B2CA6">
            <w:pPr>
              <w:pStyle w:val="Default"/>
              <w:jc w:val="both"/>
              <w:rPr>
                <w:color w:val="auto"/>
              </w:rPr>
            </w:pPr>
            <w:r w:rsidRPr="00CB7D5B">
              <w:rPr>
                <w:color w:val="auto"/>
              </w:rPr>
              <w:t>Within the Market Position Statement</w:t>
            </w:r>
            <w:r w:rsidR="008F5EE6">
              <w:rPr>
                <w:color w:val="auto"/>
              </w:rPr>
              <w:t xml:space="preserve">, </w:t>
            </w:r>
            <w:r w:rsidRPr="00CB7D5B">
              <w:rPr>
                <w:color w:val="auto"/>
              </w:rPr>
              <w:t>the key strategic messages for care and support providers are:</w:t>
            </w:r>
          </w:p>
          <w:p w14:paraId="00B41E00" w14:textId="77777777" w:rsidR="001B2CA6" w:rsidRPr="00CB7D5B" w:rsidRDefault="001B2CA6" w:rsidP="001B2CA6">
            <w:pPr>
              <w:tabs>
                <w:tab w:val="num" w:pos="714"/>
              </w:tabs>
              <w:rPr>
                <w:rFonts w:cs="Arial"/>
              </w:rPr>
            </w:pPr>
          </w:p>
          <w:p w14:paraId="18EF8E2A" w14:textId="77777777" w:rsidR="001B2CA6" w:rsidRPr="00CB7D5B" w:rsidRDefault="001B2CA6" w:rsidP="001B2CA6">
            <w:pPr>
              <w:pStyle w:val="Default"/>
              <w:numPr>
                <w:ilvl w:val="0"/>
                <w:numId w:val="11"/>
              </w:numPr>
              <w:rPr>
                <w:b/>
                <w:bCs/>
                <w:color w:val="auto"/>
              </w:rPr>
            </w:pPr>
            <w:r w:rsidRPr="00CB7D5B">
              <w:rPr>
                <w:color w:val="auto"/>
              </w:rPr>
              <w:t xml:space="preserve">We want to </w:t>
            </w:r>
            <w:r w:rsidRPr="00CB7D5B">
              <w:rPr>
                <w:b/>
                <w:bCs/>
                <w:color w:val="auto"/>
              </w:rPr>
              <w:t>help people to live a good life, remaining well and independent for as long as possible.</w:t>
            </w:r>
          </w:p>
          <w:p w14:paraId="0D0D3718" w14:textId="77777777" w:rsidR="001B2CA6" w:rsidRDefault="001B2CA6" w:rsidP="00880E33">
            <w:pPr>
              <w:pStyle w:val="Default"/>
              <w:rPr>
                <w:b/>
                <w:bCs/>
                <w:color w:val="auto"/>
              </w:rPr>
            </w:pPr>
          </w:p>
          <w:p w14:paraId="4F07458C" w14:textId="77777777" w:rsidR="001B2CA6" w:rsidRPr="00CB7D5B" w:rsidRDefault="001B2CA6" w:rsidP="001B2CA6">
            <w:pPr>
              <w:pStyle w:val="Default"/>
              <w:numPr>
                <w:ilvl w:val="0"/>
                <w:numId w:val="11"/>
              </w:numPr>
              <w:rPr>
                <w:color w:val="auto"/>
              </w:rPr>
            </w:pPr>
            <w:r w:rsidRPr="00CB7D5B">
              <w:rPr>
                <w:color w:val="auto"/>
              </w:rPr>
              <w:t xml:space="preserve">We want to </w:t>
            </w:r>
            <w:r w:rsidRPr="00CB7D5B">
              <w:rPr>
                <w:b/>
                <w:bCs/>
                <w:color w:val="auto"/>
              </w:rPr>
              <w:t>shape local services to be more outcome-focused, enabling people to have greater choice and control</w:t>
            </w:r>
            <w:r w:rsidRPr="00CB7D5B">
              <w:rPr>
                <w:color w:val="auto"/>
              </w:rPr>
              <w:t xml:space="preserve"> and supporting them to achieve their goals.</w:t>
            </w:r>
          </w:p>
          <w:p w14:paraId="6503DDAE" w14:textId="77777777" w:rsidR="001B2CA6" w:rsidRPr="00CB7D5B" w:rsidRDefault="001B2CA6" w:rsidP="001B2CA6">
            <w:pPr>
              <w:pStyle w:val="Default"/>
              <w:rPr>
                <w:color w:val="auto"/>
              </w:rPr>
            </w:pPr>
          </w:p>
          <w:p w14:paraId="605C4389" w14:textId="77777777" w:rsidR="001B2CA6" w:rsidRPr="00CB7D5B" w:rsidRDefault="001B2CA6" w:rsidP="001B2CA6">
            <w:pPr>
              <w:pStyle w:val="Default"/>
              <w:numPr>
                <w:ilvl w:val="0"/>
                <w:numId w:val="11"/>
              </w:numPr>
              <w:rPr>
                <w:color w:val="auto"/>
              </w:rPr>
            </w:pPr>
            <w:r w:rsidRPr="00CB7D5B">
              <w:rPr>
                <w:b/>
                <w:bCs/>
                <w:color w:val="auto"/>
              </w:rPr>
              <w:t>Co-production and engagement with service users and communities as commissioners and service providers is critical to service improvement and development, and to ensuring high quality provision</w:t>
            </w:r>
            <w:r w:rsidRPr="00CB7D5B">
              <w:rPr>
                <w:color w:val="auto"/>
              </w:rPr>
              <w:t>. Somerset Council recognise there needs to be a significant improvement in our approach to working together as equal partners – listening, respecting and valuing all opinions.</w:t>
            </w:r>
          </w:p>
          <w:p w14:paraId="4E97CB1E" w14:textId="77777777" w:rsidR="001B2CA6" w:rsidRPr="00CB7D5B" w:rsidRDefault="001B2CA6" w:rsidP="001B2CA6">
            <w:pPr>
              <w:pStyle w:val="Default"/>
              <w:rPr>
                <w:color w:val="auto"/>
              </w:rPr>
            </w:pPr>
          </w:p>
          <w:p w14:paraId="30580A67" w14:textId="77777777" w:rsidR="001B2CA6" w:rsidRPr="00CB7D5B" w:rsidRDefault="001B2CA6" w:rsidP="001B2CA6">
            <w:pPr>
              <w:pStyle w:val="Default"/>
              <w:numPr>
                <w:ilvl w:val="0"/>
                <w:numId w:val="11"/>
              </w:numPr>
              <w:rPr>
                <w:color w:val="auto"/>
              </w:rPr>
            </w:pPr>
            <w:r w:rsidRPr="00CB7D5B">
              <w:t>We expect to see demand for social care support to continue to increase against a backdrop of an increasingly aging population,</w:t>
            </w:r>
            <w:r w:rsidRPr="00CB7D5B">
              <w:rPr>
                <w:b/>
                <w:bCs/>
              </w:rPr>
              <w:t xml:space="preserve"> </w:t>
            </w:r>
            <w:r w:rsidRPr="00CB7D5B">
              <w:t xml:space="preserve">driving </w:t>
            </w:r>
            <w:r w:rsidRPr="00CB7D5B">
              <w:rPr>
                <w:b/>
                <w:bCs/>
              </w:rPr>
              <w:t xml:space="preserve">huge additional demand for care at home services. </w:t>
            </w:r>
            <w:r w:rsidRPr="00CB7D5B">
              <w:t>Despite having a large and diverse market we are still reliant on a small number of providers for half of the support delivered.</w:t>
            </w:r>
          </w:p>
          <w:p w14:paraId="3C93D65A" w14:textId="77777777" w:rsidR="001B2CA6" w:rsidRPr="00CB7D5B" w:rsidRDefault="001B2CA6" w:rsidP="001B2CA6">
            <w:pPr>
              <w:pStyle w:val="ListParagraph"/>
              <w:rPr>
                <w:rFonts w:ascii="Arial" w:hAnsi="Arial" w:cs="Arial"/>
              </w:rPr>
            </w:pPr>
          </w:p>
          <w:p w14:paraId="0E9318BC" w14:textId="77777777" w:rsidR="001B2CA6" w:rsidRPr="00CB7D5B" w:rsidRDefault="001B2CA6" w:rsidP="001B2CA6">
            <w:pPr>
              <w:pStyle w:val="Default"/>
              <w:numPr>
                <w:ilvl w:val="0"/>
                <w:numId w:val="11"/>
              </w:numPr>
              <w:rPr>
                <w:color w:val="auto"/>
              </w:rPr>
            </w:pPr>
            <w:r w:rsidRPr="00CB7D5B">
              <w:rPr>
                <w:b/>
                <w:bCs/>
              </w:rPr>
              <w:t>The evidence is clear that ‘home’ is the most appropriate place for resolving crises and recovery for adults and older people being discharged from hospital</w:t>
            </w:r>
            <w:r w:rsidRPr="00CB7D5B">
              <w:t>. This care and support must be personalised to enable people to live in dignity and stay in control. Wherever possible, people leaving hospital will be supported to recover at home through the provision of short-term reablement or rehabilitation, be assessed for any ongoing care needs from home, and be supported to avoid a hospital admission from home. We will look to extend best practice and reorientate services and funding to help more people get home when that is the most appropriate place for them – and to stay at home.</w:t>
            </w:r>
          </w:p>
          <w:p w14:paraId="3C289633" w14:textId="77777777" w:rsidR="001B2CA6" w:rsidRPr="00CB7D5B" w:rsidRDefault="001B2CA6" w:rsidP="001B2CA6">
            <w:pPr>
              <w:pStyle w:val="Default"/>
              <w:rPr>
                <w:color w:val="auto"/>
              </w:rPr>
            </w:pPr>
          </w:p>
          <w:p w14:paraId="7C16FB50" w14:textId="77777777" w:rsidR="001B2CA6" w:rsidRPr="00CB7D5B" w:rsidRDefault="001B2CA6" w:rsidP="001B2CA6">
            <w:pPr>
              <w:pStyle w:val="Default"/>
              <w:numPr>
                <w:ilvl w:val="0"/>
                <w:numId w:val="11"/>
              </w:numPr>
              <w:rPr>
                <w:color w:val="auto"/>
              </w:rPr>
            </w:pPr>
            <w:r w:rsidRPr="00CB7D5B">
              <w:t xml:space="preserve">We require providers who are able to </w:t>
            </w:r>
            <w:r w:rsidRPr="00CB7D5B">
              <w:rPr>
                <w:b/>
                <w:bCs/>
              </w:rPr>
              <w:t>meet the changing needs of our population, supporting more remote areas of our county where care is harder to source, and individuals for whom provision is more difficult to secure or where there are limited alternatives to residential care</w:t>
            </w:r>
            <w:r w:rsidRPr="00CB7D5B">
              <w:t xml:space="preserve">. </w:t>
            </w:r>
          </w:p>
          <w:p w14:paraId="18B435A2" w14:textId="77777777" w:rsidR="001B2CA6" w:rsidRPr="00CB7D5B" w:rsidRDefault="001B2CA6" w:rsidP="001B2CA6">
            <w:pPr>
              <w:pStyle w:val="Default"/>
              <w:ind w:left="360"/>
              <w:rPr>
                <w:color w:val="auto"/>
              </w:rPr>
            </w:pPr>
          </w:p>
          <w:p w14:paraId="547A4E35" w14:textId="77777777" w:rsidR="001B2CA6" w:rsidRPr="00CB7D5B" w:rsidRDefault="001B2CA6" w:rsidP="001B2CA6">
            <w:pPr>
              <w:pStyle w:val="Default"/>
              <w:numPr>
                <w:ilvl w:val="0"/>
                <w:numId w:val="11"/>
              </w:numPr>
              <w:rPr>
                <w:color w:val="auto"/>
              </w:rPr>
            </w:pPr>
            <w:r w:rsidRPr="00CB7D5B">
              <w:rPr>
                <w:color w:val="auto"/>
              </w:rPr>
              <w:t xml:space="preserve">A priority for us is to </w:t>
            </w:r>
            <w:r w:rsidRPr="00CB7D5B">
              <w:rPr>
                <w:b/>
                <w:bCs/>
                <w:color w:val="auto"/>
              </w:rPr>
              <w:t>develop appropriate services in people’s homes and increase the amount of care homes with dementia provision in Somerset</w:t>
            </w:r>
            <w:r w:rsidRPr="00CB7D5B">
              <w:rPr>
                <w:color w:val="auto"/>
              </w:rPr>
              <w:t xml:space="preserve"> if we are to be able to effectively respond to the demographic changes anticipated</w:t>
            </w:r>
            <w:r w:rsidRPr="00CB7D5B">
              <w:t>. Rates of dementia in Somerset are significantly higher than the national average due to our demographics and there are indications that even this may significantly under-estimate the true picture.</w:t>
            </w:r>
          </w:p>
          <w:p w14:paraId="73173698" w14:textId="77777777" w:rsidR="001B2CA6" w:rsidRPr="00CB7D5B" w:rsidRDefault="001B2CA6" w:rsidP="001B2CA6">
            <w:pPr>
              <w:pStyle w:val="Default"/>
              <w:rPr>
                <w:color w:val="auto"/>
              </w:rPr>
            </w:pPr>
          </w:p>
          <w:p w14:paraId="5C966246" w14:textId="77777777" w:rsidR="001B2CA6" w:rsidRPr="00CB7D5B" w:rsidRDefault="001B2CA6" w:rsidP="001B2CA6">
            <w:pPr>
              <w:pStyle w:val="Default"/>
              <w:numPr>
                <w:ilvl w:val="0"/>
                <w:numId w:val="11"/>
              </w:numPr>
              <w:rPr>
                <w:color w:val="auto"/>
              </w:rPr>
            </w:pPr>
            <w:r w:rsidRPr="00CB7D5B">
              <w:rPr>
                <w:color w:val="auto"/>
              </w:rPr>
              <w:t xml:space="preserve">We wish to </w:t>
            </w:r>
            <w:r w:rsidRPr="00CB7D5B">
              <w:rPr>
                <w:b/>
                <w:bCs/>
                <w:color w:val="auto"/>
              </w:rPr>
              <w:t>work with innovative developers, housing providers and providers of social care services that have experience and knowledge of the specialised housing sector to develop a range of accommodation and services</w:t>
            </w:r>
            <w:r w:rsidRPr="00CB7D5B">
              <w:rPr>
                <w:color w:val="auto"/>
              </w:rPr>
              <w:t>.</w:t>
            </w:r>
          </w:p>
          <w:p w14:paraId="1044F76B" w14:textId="77777777" w:rsidR="001B2CA6" w:rsidRPr="00CB7D5B" w:rsidRDefault="001B2CA6" w:rsidP="001B2CA6">
            <w:pPr>
              <w:pStyle w:val="ListParagraph"/>
              <w:rPr>
                <w:rFonts w:ascii="Arial" w:hAnsi="Arial" w:cs="Arial"/>
              </w:rPr>
            </w:pPr>
          </w:p>
          <w:p w14:paraId="40D46B22" w14:textId="77777777" w:rsidR="001B2CA6" w:rsidRPr="00CB7D5B" w:rsidRDefault="001B2CA6" w:rsidP="001B2CA6">
            <w:pPr>
              <w:pStyle w:val="Default"/>
              <w:numPr>
                <w:ilvl w:val="0"/>
                <w:numId w:val="11"/>
              </w:numPr>
            </w:pPr>
            <w:r w:rsidRPr="00CB7D5B">
              <w:t xml:space="preserve">We want to see the </w:t>
            </w:r>
            <w:r w:rsidRPr="00CB7D5B">
              <w:rPr>
                <w:b/>
                <w:bCs/>
              </w:rPr>
              <w:t>development of vibrant, new Extra care schemes that meet the needs of local people and have a community presence</w:t>
            </w:r>
            <w:r w:rsidRPr="00CB7D5B">
              <w:t>.</w:t>
            </w:r>
          </w:p>
          <w:p w14:paraId="22FB173D" w14:textId="77777777" w:rsidR="001B2CA6" w:rsidRDefault="001B2CA6" w:rsidP="00880E33">
            <w:pPr>
              <w:pStyle w:val="Default"/>
              <w:rPr>
                <w:b/>
                <w:bCs/>
                <w:color w:val="auto"/>
              </w:rPr>
            </w:pPr>
          </w:p>
          <w:p w14:paraId="15B73303" w14:textId="77777777" w:rsidR="005B6DA5" w:rsidRPr="00CB7D5B" w:rsidRDefault="005B6DA5" w:rsidP="005B6DA5">
            <w:pPr>
              <w:pStyle w:val="Default"/>
              <w:numPr>
                <w:ilvl w:val="0"/>
                <w:numId w:val="12"/>
              </w:numPr>
              <w:rPr>
                <w:color w:val="auto"/>
              </w:rPr>
            </w:pPr>
            <w:r w:rsidRPr="00CB7D5B">
              <w:t xml:space="preserve">The Council will also continue to </w:t>
            </w:r>
            <w:r w:rsidRPr="00CB7D5B">
              <w:rPr>
                <w:b/>
                <w:bCs/>
              </w:rPr>
              <w:t>monitor the cost of care and seek to pay a fair price through transparent commissioning and contract arrangements</w:t>
            </w:r>
            <w:r w:rsidRPr="00CB7D5B">
              <w:t xml:space="preserve">.  Somerset Council’s Medium Term Financial Strategy outlines the key financial issues, the proposed response to these financial challenges, and our plans for spending. As part of the strategy, service commissioners will continue to work with stakeholders to achieve significant savings through service transformation and re-design; contract re-negotiation with existing providers; and decommissioning or reinvestment in </w:t>
            </w:r>
            <w:r w:rsidRPr="00CB7D5B">
              <w:lastRenderedPageBreak/>
              <w:t>more effective and efficient services for improved outcomes for local people.</w:t>
            </w:r>
          </w:p>
          <w:p w14:paraId="302CC83E" w14:textId="77777777" w:rsidR="005B6DA5" w:rsidRPr="00CB7D5B" w:rsidRDefault="005B6DA5" w:rsidP="005B6DA5">
            <w:pPr>
              <w:pStyle w:val="ListParagraph"/>
              <w:rPr>
                <w:rFonts w:ascii="Arial" w:hAnsi="Arial" w:cs="Arial"/>
              </w:rPr>
            </w:pPr>
          </w:p>
          <w:p w14:paraId="410AB74F" w14:textId="77777777" w:rsidR="005B6DA5" w:rsidRPr="00CB7D5B" w:rsidRDefault="005B6DA5" w:rsidP="005B6DA5">
            <w:pPr>
              <w:pStyle w:val="ListParagraph"/>
              <w:numPr>
                <w:ilvl w:val="0"/>
                <w:numId w:val="11"/>
              </w:numPr>
              <w:spacing w:line="259" w:lineRule="auto"/>
              <w:contextualSpacing/>
              <w:rPr>
                <w:rFonts w:ascii="Arial" w:hAnsi="Arial" w:cs="Arial"/>
                <w:sz w:val="24"/>
                <w:szCs w:val="24"/>
              </w:rPr>
            </w:pPr>
            <w:r w:rsidRPr="00CB7D5B">
              <w:rPr>
                <w:rFonts w:ascii="Arial" w:eastAsia="Microsoft New Tai Lue" w:hAnsi="Arial" w:cs="Arial"/>
                <w:b/>
                <w:bCs/>
                <w:sz w:val="24"/>
                <w:szCs w:val="24"/>
              </w:rPr>
              <w:t>The sustainability of the market will only be achieved if we continue to develop and deliver our joint Health and Social care strategy</w:t>
            </w:r>
            <w:r w:rsidRPr="00CB7D5B">
              <w:rPr>
                <w:rFonts w:ascii="Arial" w:eastAsia="Microsoft New Tai Lue" w:hAnsi="Arial" w:cs="Arial"/>
                <w:sz w:val="24"/>
                <w:szCs w:val="24"/>
              </w:rPr>
              <w:t xml:space="preserve">. At the heart of this is working in local neighbourhoods, linked to communities and the places people live, enhancing our digital offer, housing and joint commissioning arrangements. </w:t>
            </w:r>
          </w:p>
          <w:p w14:paraId="532721CC" w14:textId="77777777" w:rsidR="005B6DA5" w:rsidRPr="00CB7D5B" w:rsidRDefault="005B6DA5" w:rsidP="005B6DA5">
            <w:pPr>
              <w:pStyle w:val="ListParagraph"/>
              <w:ind w:left="360"/>
              <w:rPr>
                <w:rFonts w:ascii="Arial" w:hAnsi="Arial" w:cs="Arial"/>
                <w:sz w:val="24"/>
                <w:szCs w:val="24"/>
              </w:rPr>
            </w:pPr>
          </w:p>
          <w:p w14:paraId="1F486F9F" w14:textId="77777777" w:rsidR="005B6DA5" w:rsidRPr="00CB7D5B" w:rsidRDefault="005B6DA5" w:rsidP="005B6DA5">
            <w:pPr>
              <w:pStyle w:val="ListParagraph"/>
              <w:numPr>
                <w:ilvl w:val="0"/>
                <w:numId w:val="11"/>
              </w:numPr>
              <w:spacing w:line="259" w:lineRule="auto"/>
              <w:contextualSpacing/>
              <w:rPr>
                <w:rFonts w:ascii="Arial" w:hAnsi="Arial" w:cs="Arial"/>
                <w:sz w:val="24"/>
                <w:szCs w:val="24"/>
              </w:rPr>
            </w:pPr>
            <w:r w:rsidRPr="00CB7D5B">
              <w:rPr>
                <w:rFonts w:ascii="Arial" w:hAnsi="Arial" w:cs="Arial"/>
                <w:b/>
                <w:bCs/>
                <w:sz w:val="24"/>
                <w:szCs w:val="24"/>
              </w:rPr>
              <w:t>Somerset Council is required to consider how the economic, social and environmental well-being of the county may be improved through the procurement of the services or goods</w:t>
            </w:r>
            <w:r w:rsidRPr="00CB7D5B">
              <w:rPr>
                <w:rFonts w:ascii="Arial" w:hAnsi="Arial" w:cs="Arial"/>
                <w:sz w:val="24"/>
                <w:szCs w:val="24"/>
              </w:rPr>
              <w:t xml:space="preserve"> before commencing a procurement process (as part of the Public Services Social Value Act 2012). The aim of the Act is to ensure that as part of the commissioning and procurement processes, consideration is given to the wider impact of the delivery of the services and goods. It allows a council to consider as part of the tender process how suppliers go beyond the basic contract terms and secures wider benefits for the community.</w:t>
            </w:r>
          </w:p>
          <w:p w14:paraId="0A2695C3" w14:textId="77777777" w:rsidR="005B6DA5" w:rsidRDefault="005B6DA5" w:rsidP="00880E33">
            <w:pPr>
              <w:pStyle w:val="Default"/>
              <w:rPr>
                <w:b/>
                <w:bCs/>
                <w:color w:val="auto"/>
              </w:rPr>
            </w:pPr>
          </w:p>
          <w:p w14:paraId="054BFF15" w14:textId="77777777" w:rsidR="005B6DA5" w:rsidRPr="00CB7D5B" w:rsidRDefault="005B6DA5" w:rsidP="005B6DA5">
            <w:pPr>
              <w:pStyle w:val="Default"/>
              <w:numPr>
                <w:ilvl w:val="0"/>
                <w:numId w:val="11"/>
              </w:numPr>
              <w:rPr>
                <w:color w:val="auto"/>
              </w:rPr>
            </w:pPr>
            <w:r w:rsidRPr="00CB7D5B">
              <w:rPr>
                <w:color w:val="auto"/>
              </w:rPr>
              <w:t xml:space="preserve">It is important for providers to </w:t>
            </w:r>
            <w:r w:rsidRPr="00CB7D5B">
              <w:rPr>
                <w:b/>
                <w:bCs/>
                <w:color w:val="auto"/>
              </w:rPr>
              <w:t xml:space="preserve">identify and incorporate digital solutions </w:t>
            </w:r>
            <w:r w:rsidRPr="00CB7D5B">
              <w:rPr>
                <w:color w:val="auto"/>
              </w:rPr>
              <w:t>alongside all service areas where possible and appropriate.  This includes assistive technology services, but also wider digital innovation within provision.</w:t>
            </w:r>
          </w:p>
          <w:p w14:paraId="4F8586AB" w14:textId="77777777" w:rsidR="005B6DA5" w:rsidRPr="00CB7D5B" w:rsidRDefault="005B6DA5" w:rsidP="005B6DA5">
            <w:pPr>
              <w:pStyle w:val="Default"/>
            </w:pPr>
          </w:p>
          <w:p w14:paraId="508C373F" w14:textId="77777777" w:rsidR="005B6DA5" w:rsidRPr="00CB7D5B" w:rsidRDefault="005B6DA5" w:rsidP="005B6DA5">
            <w:pPr>
              <w:pStyle w:val="Default"/>
              <w:numPr>
                <w:ilvl w:val="0"/>
                <w:numId w:val="12"/>
              </w:numPr>
            </w:pPr>
            <w:r w:rsidRPr="00CB7D5B">
              <w:t xml:space="preserve">Throughout all this, a key priority will be to continue to work across health and social care with provider organisations to </w:t>
            </w:r>
            <w:r w:rsidRPr="00CB7D5B">
              <w:rPr>
                <w:b/>
                <w:bCs/>
              </w:rPr>
              <w:t>support and develop our workforce</w:t>
            </w:r>
            <w:r w:rsidRPr="00CB7D5B">
              <w:t xml:space="preserve"> and </w:t>
            </w:r>
            <w:r w:rsidRPr="00CB7D5B">
              <w:rPr>
                <w:b/>
                <w:bCs/>
              </w:rPr>
              <w:t>drive wider care quality improvement</w:t>
            </w:r>
            <w:r w:rsidRPr="00CB7D5B">
              <w:t xml:space="preserve"> </w:t>
            </w:r>
          </w:p>
          <w:p w14:paraId="4EEDF4DD" w14:textId="77777777" w:rsidR="005B6DA5" w:rsidRPr="00CB7D5B" w:rsidRDefault="005B6DA5" w:rsidP="00880E33">
            <w:pPr>
              <w:pStyle w:val="Default"/>
              <w:rPr>
                <w:b/>
                <w:bCs/>
                <w:color w:val="auto"/>
              </w:rPr>
            </w:pPr>
          </w:p>
        </w:tc>
      </w:tr>
      <w:tr w:rsidR="006B48E1" w14:paraId="219907F3" w14:textId="77777777" w:rsidTr="003A7469">
        <w:tc>
          <w:tcPr>
            <w:tcW w:w="421" w:type="dxa"/>
          </w:tcPr>
          <w:p w14:paraId="79DF2C16" w14:textId="77C1F623" w:rsidR="006B48E1" w:rsidRDefault="006B48E1">
            <w:pPr>
              <w:rPr>
                <w:rFonts w:cs="Arial"/>
                <w:b/>
                <w:bCs/>
              </w:rPr>
            </w:pPr>
            <w:r>
              <w:rPr>
                <w:rFonts w:cs="Arial"/>
                <w:b/>
                <w:bCs/>
              </w:rPr>
              <w:lastRenderedPageBreak/>
              <w:t>3.8</w:t>
            </w:r>
          </w:p>
        </w:tc>
        <w:tc>
          <w:tcPr>
            <w:tcW w:w="8904" w:type="dxa"/>
          </w:tcPr>
          <w:p w14:paraId="5C40B383" w14:textId="51664A9E" w:rsidR="001263B8" w:rsidRPr="00E62084" w:rsidRDefault="001263B8" w:rsidP="001263B8">
            <w:pPr>
              <w:pStyle w:val="ListParagraph"/>
              <w:spacing w:line="259" w:lineRule="auto"/>
              <w:ind w:left="0"/>
              <w:contextualSpacing/>
              <w:rPr>
                <w:rFonts w:ascii="Arial" w:hAnsi="Arial" w:cs="Arial"/>
                <w:b/>
                <w:bCs/>
                <w:sz w:val="24"/>
                <w:szCs w:val="24"/>
              </w:rPr>
            </w:pPr>
            <w:r w:rsidRPr="00671375">
              <w:rPr>
                <w:rFonts w:ascii="Arial" w:hAnsi="Arial" w:cs="Arial"/>
                <w:b/>
                <w:bCs/>
                <w:sz w:val="24"/>
                <w:szCs w:val="24"/>
              </w:rPr>
              <w:t>Market Sustainability</w:t>
            </w:r>
            <w:r w:rsidR="00891F9F">
              <w:rPr>
                <w:rFonts w:ascii="Arial" w:hAnsi="Arial" w:cs="Arial"/>
                <w:b/>
                <w:bCs/>
                <w:sz w:val="24"/>
                <w:szCs w:val="24"/>
              </w:rPr>
              <w:t xml:space="preserve"> (Over 65/Older People’s Care Market)</w:t>
            </w:r>
            <w:r w:rsidRPr="00671375">
              <w:rPr>
                <w:rFonts w:ascii="Arial" w:hAnsi="Arial" w:cs="Arial"/>
                <w:b/>
                <w:bCs/>
                <w:sz w:val="24"/>
                <w:szCs w:val="24"/>
              </w:rPr>
              <w:t xml:space="preserve">: </w:t>
            </w:r>
            <w:r w:rsidRPr="00671375">
              <w:rPr>
                <w:rFonts w:ascii="Arial" w:hAnsi="Arial" w:cs="Arial"/>
                <w:sz w:val="24"/>
                <w:szCs w:val="24"/>
              </w:rPr>
              <w:t xml:space="preserve">In May 2023 the Council published a Market Sustainability </w:t>
            </w:r>
            <w:r w:rsidR="00F072EB" w:rsidRPr="00671375">
              <w:rPr>
                <w:rFonts w:ascii="Arial" w:hAnsi="Arial" w:cs="Arial"/>
                <w:sz w:val="24"/>
                <w:szCs w:val="24"/>
              </w:rPr>
              <w:t>P</w:t>
            </w:r>
            <w:r w:rsidRPr="00671375">
              <w:rPr>
                <w:rFonts w:ascii="Arial" w:hAnsi="Arial" w:cs="Arial"/>
                <w:sz w:val="24"/>
                <w:szCs w:val="24"/>
              </w:rPr>
              <w:t>lan</w:t>
            </w:r>
            <w:r w:rsidR="00E30454">
              <w:rPr>
                <w:rStyle w:val="FootnoteReference"/>
                <w:rFonts w:ascii="Arial" w:hAnsi="Arial" w:cs="Arial"/>
                <w:sz w:val="24"/>
                <w:szCs w:val="24"/>
              </w:rPr>
              <w:footnoteReference w:id="2"/>
            </w:r>
            <w:r w:rsidR="000D0849">
              <w:rPr>
                <w:rFonts w:ascii="Arial" w:hAnsi="Arial" w:cs="Arial"/>
                <w:sz w:val="24"/>
                <w:szCs w:val="24"/>
              </w:rPr>
              <w:t xml:space="preserve"> </w:t>
            </w:r>
            <w:r w:rsidRPr="00671375">
              <w:rPr>
                <w:rFonts w:ascii="Arial" w:hAnsi="Arial" w:cs="Arial"/>
                <w:sz w:val="24"/>
                <w:szCs w:val="24"/>
              </w:rPr>
              <w:t xml:space="preserve">for the older people care and support market, which was developed following the Government request to understand the fair cost of care in Somerset. The </w:t>
            </w:r>
            <w:r w:rsidR="00F072EB" w:rsidRPr="00671375">
              <w:rPr>
                <w:rFonts w:ascii="Arial" w:hAnsi="Arial" w:cs="Arial"/>
                <w:sz w:val="24"/>
                <w:szCs w:val="24"/>
              </w:rPr>
              <w:t>MPS</w:t>
            </w:r>
            <w:r w:rsidRPr="00671375">
              <w:rPr>
                <w:rFonts w:ascii="Arial" w:hAnsi="Arial" w:cs="Arial"/>
                <w:sz w:val="24"/>
                <w:szCs w:val="24"/>
              </w:rPr>
              <w:t xml:space="preserve"> </w:t>
            </w:r>
            <w:r w:rsidR="00F072EB" w:rsidRPr="00671375">
              <w:rPr>
                <w:rFonts w:ascii="Arial" w:hAnsi="Arial" w:cs="Arial"/>
                <w:sz w:val="24"/>
                <w:szCs w:val="24"/>
              </w:rPr>
              <w:t>is informed by the</w:t>
            </w:r>
            <w:r w:rsidRPr="00671375">
              <w:rPr>
                <w:rFonts w:ascii="Arial" w:hAnsi="Arial" w:cs="Arial"/>
                <w:sz w:val="24"/>
                <w:szCs w:val="24"/>
              </w:rPr>
              <w:t xml:space="preserve"> findings of the Market Sustainability </w:t>
            </w:r>
            <w:r w:rsidR="00F072EB" w:rsidRPr="00671375">
              <w:rPr>
                <w:rFonts w:ascii="Arial" w:hAnsi="Arial" w:cs="Arial"/>
                <w:sz w:val="24"/>
                <w:szCs w:val="24"/>
              </w:rPr>
              <w:t>P</w:t>
            </w:r>
            <w:r w:rsidRPr="00671375">
              <w:rPr>
                <w:rFonts w:ascii="Arial" w:hAnsi="Arial" w:cs="Arial"/>
                <w:sz w:val="24"/>
                <w:szCs w:val="24"/>
              </w:rPr>
              <w:t>lan.</w:t>
            </w:r>
          </w:p>
          <w:p w14:paraId="01AB3EE8" w14:textId="239EC5E7" w:rsidR="006B48E1" w:rsidRPr="00671375" w:rsidRDefault="006B48E1" w:rsidP="001263B8">
            <w:pPr>
              <w:pStyle w:val="Default"/>
              <w:jc w:val="both"/>
              <w:rPr>
                <w:color w:val="auto"/>
              </w:rPr>
            </w:pPr>
          </w:p>
        </w:tc>
      </w:tr>
      <w:tr w:rsidR="00F072EB" w14:paraId="091D043C" w14:textId="77777777" w:rsidTr="003A7469">
        <w:tc>
          <w:tcPr>
            <w:tcW w:w="421" w:type="dxa"/>
          </w:tcPr>
          <w:p w14:paraId="3F4C8044" w14:textId="088C122C" w:rsidR="00F072EB" w:rsidRDefault="00F072EB">
            <w:pPr>
              <w:rPr>
                <w:rFonts w:cs="Arial"/>
                <w:b/>
                <w:bCs/>
              </w:rPr>
            </w:pPr>
            <w:r>
              <w:rPr>
                <w:rFonts w:cs="Arial"/>
                <w:b/>
                <w:bCs/>
              </w:rPr>
              <w:t>3.9</w:t>
            </w:r>
          </w:p>
        </w:tc>
        <w:tc>
          <w:tcPr>
            <w:tcW w:w="8904" w:type="dxa"/>
          </w:tcPr>
          <w:p w14:paraId="49451744" w14:textId="77777777" w:rsidR="00F072EB" w:rsidRPr="00671375" w:rsidRDefault="00F072EB" w:rsidP="001263B8">
            <w:pPr>
              <w:pStyle w:val="ListParagraph"/>
              <w:spacing w:line="259" w:lineRule="auto"/>
              <w:ind w:left="0"/>
              <w:contextualSpacing/>
              <w:rPr>
                <w:rFonts w:ascii="Arial" w:hAnsi="Arial" w:cs="Arial"/>
                <w:sz w:val="24"/>
                <w:szCs w:val="24"/>
              </w:rPr>
            </w:pPr>
            <w:r w:rsidRPr="00671375">
              <w:rPr>
                <w:rFonts w:ascii="Arial" w:hAnsi="Arial" w:cs="Arial"/>
                <w:sz w:val="24"/>
                <w:szCs w:val="24"/>
              </w:rPr>
              <w:t xml:space="preserve">The Market Sustainability Plan highlighted the Council’s ambition to meet the fair costs of care by 2025. This ambition was proposed prior to the Council’s corporate financial emergency situation. Work is ongoing to review the findings of the Market </w:t>
            </w:r>
            <w:r w:rsidR="00370792" w:rsidRPr="00671375">
              <w:rPr>
                <w:rFonts w:ascii="Arial" w:hAnsi="Arial" w:cs="Arial"/>
                <w:sz w:val="24"/>
                <w:szCs w:val="24"/>
              </w:rPr>
              <w:t>S</w:t>
            </w:r>
            <w:r w:rsidRPr="00671375">
              <w:rPr>
                <w:rFonts w:ascii="Arial" w:hAnsi="Arial" w:cs="Arial"/>
                <w:sz w:val="24"/>
                <w:szCs w:val="24"/>
              </w:rPr>
              <w:t xml:space="preserve">ustainability </w:t>
            </w:r>
            <w:r w:rsidR="00370792" w:rsidRPr="00671375">
              <w:rPr>
                <w:rFonts w:ascii="Arial" w:hAnsi="Arial" w:cs="Arial"/>
                <w:sz w:val="24"/>
                <w:szCs w:val="24"/>
              </w:rPr>
              <w:t>Pl</w:t>
            </w:r>
            <w:r w:rsidRPr="00671375">
              <w:rPr>
                <w:rFonts w:ascii="Arial" w:hAnsi="Arial" w:cs="Arial"/>
                <w:sz w:val="24"/>
                <w:szCs w:val="24"/>
              </w:rPr>
              <w:t>an in light of the Council’s financial position</w:t>
            </w:r>
          </w:p>
          <w:p w14:paraId="74E17A48" w14:textId="7718DDBA" w:rsidR="00370792" w:rsidRPr="00671375" w:rsidRDefault="00370792" w:rsidP="001263B8">
            <w:pPr>
              <w:pStyle w:val="ListParagraph"/>
              <w:spacing w:line="259" w:lineRule="auto"/>
              <w:ind w:left="0"/>
              <w:contextualSpacing/>
              <w:rPr>
                <w:rFonts w:ascii="Arial" w:hAnsi="Arial" w:cs="Arial"/>
                <w:b/>
                <w:bCs/>
                <w:sz w:val="24"/>
                <w:szCs w:val="24"/>
              </w:rPr>
            </w:pPr>
          </w:p>
        </w:tc>
      </w:tr>
      <w:tr w:rsidR="00671375" w14:paraId="056FFE82" w14:textId="77777777" w:rsidTr="003A7469">
        <w:tc>
          <w:tcPr>
            <w:tcW w:w="421" w:type="dxa"/>
          </w:tcPr>
          <w:p w14:paraId="3283B74E" w14:textId="0C44C02E" w:rsidR="00671375" w:rsidRDefault="00671375">
            <w:pPr>
              <w:rPr>
                <w:rFonts w:cs="Arial"/>
                <w:b/>
                <w:bCs/>
              </w:rPr>
            </w:pPr>
            <w:r>
              <w:rPr>
                <w:rFonts w:cs="Arial"/>
                <w:b/>
                <w:bCs/>
              </w:rPr>
              <w:t>3.10</w:t>
            </w:r>
          </w:p>
        </w:tc>
        <w:tc>
          <w:tcPr>
            <w:tcW w:w="8904" w:type="dxa"/>
          </w:tcPr>
          <w:p w14:paraId="49B76890" w14:textId="390DD474" w:rsidR="00671375" w:rsidRPr="00671375" w:rsidRDefault="00F04DCD" w:rsidP="00671375">
            <w:pPr>
              <w:tabs>
                <w:tab w:val="num" w:pos="714"/>
              </w:tabs>
              <w:rPr>
                <w:rFonts w:cs="Arial"/>
                <w:color w:val="000000"/>
                <w:lang w:eastAsia="en-GB"/>
              </w:rPr>
            </w:pPr>
            <w:r>
              <w:rPr>
                <w:rFonts w:cs="Arial"/>
                <w:b/>
                <w:bCs/>
              </w:rPr>
              <w:t>Home care</w:t>
            </w:r>
            <w:r w:rsidR="00903B3A">
              <w:rPr>
                <w:rFonts w:cs="Arial"/>
                <w:b/>
                <w:bCs/>
              </w:rPr>
              <w:t xml:space="preserve"> sufficiency: </w:t>
            </w:r>
            <w:r w:rsidR="00671375" w:rsidRPr="00671375">
              <w:rPr>
                <w:rFonts w:cs="Arial"/>
              </w:rPr>
              <w:t xml:space="preserve">During 2023/24 Adult Social Care have completed </w:t>
            </w:r>
            <w:r w:rsidR="00671375" w:rsidRPr="00671375">
              <w:rPr>
                <w:rFonts w:cs="Arial"/>
                <w:color w:val="000000"/>
                <w:lang w:eastAsia="en-GB"/>
              </w:rPr>
              <w:t xml:space="preserve">a procurement process to award a number of home / domiciliary care block contracts. This involved a competitive procurement process to secure the supply of quality care and support at home services. This approach </w:t>
            </w:r>
            <w:r w:rsidR="00671375">
              <w:rPr>
                <w:rFonts w:cs="Arial"/>
                <w:color w:val="000000"/>
                <w:lang w:eastAsia="en-GB"/>
              </w:rPr>
              <w:t>is designed to help</w:t>
            </w:r>
            <w:r w:rsidR="00671375" w:rsidRPr="00671375">
              <w:rPr>
                <w:rFonts w:cs="Arial"/>
                <w:color w:val="000000"/>
                <w:lang w:eastAsia="en-GB"/>
              </w:rPr>
              <w:t xml:space="preserve"> develop a market that delivers a wide range of sustainable high-quality care and support services in difficult to source or high demand areas</w:t>
            </w:r>
            <w:r w:rsidR="007A7DB0">
              <w:rPr>
                <w:rFonts w:cs="Arial"/>
                <w:color w:val="000000"/>
                <w:lang w:eastAsia="en-GB"/>
              </w:rPr>
              <w:t>, and will</w:t>
            </w:r>
            <w:r w:rsidR="00671375" w:rsidRPr="00671375">
              <w:rPr>
                <w:rFonts w:cs="Arial"/>
                <w:color w:val="000000"/>
                <w:lang w:eastAsia="en-GB"/>
              </w:rPr>
              <w:t xml:space="preserve"> offer guaranteed hours under 6 lots for the following areas: </w:t>
            </w:r>
          </w:p>
          <w:p w14:paraId="1A3C33E6" w14:textId="77777777" w:rsidR="007A7DB0" w:rsidRDefault="007A7DB0" w:rsidP="007A7DB0">
            <w:pPr>
              <w:autoSpaceDE w:val="0"/>
              <w:autoSpaceDN w:val="0"/>
              <w:adjustRightInd w:val="0"/>
              <w:spacing w:after="34"/>
              <w:rPr>
                <w:rFonts w:cs="Arial"/>
                <w:color w:val="000000"/>
                <w:sz w:val="23"/>
                <w:szCs w:val="23"/>
                <w:lang w:eastAsia="en-GB"/>
              </w:rPr>
            </w:pPr>
          </w:p>
          <w:p w14:paraId="582C3D6C" w14:textId="77777777"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t xml:space="preserve">Lot 1 – Glastonbury and Street, 150 hours </w:t>
            </w:r>
          </w:p>
          <w:p w14:paraId="5D7CE7F6" w14:textId="77777777"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t xml:space="preserve">Lot 2 – Shepton Mallet and Wells, 200 hours </w:t>
            </w:r>
          </w:p>
          <w:p w14:paraId="42025230" w14:textId="77777777"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t xml:space="preserve">Lot 3 – Frome, 100 hours </w:t>
            </w:r>
          </w:p>
          <w:p w14:paraId="08F24906" w14:textId="77777777"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lastRenderedPageBreak/>
              <w:t xml:space="preserve">Lot 4 – Yeovil, 150 hours </w:t>
            </w:r>
          </w:p>
          <w:p w14:paraId="6C4878FF" w14:textId="0EE52CBF"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t xml:space="preserve">Lot 5 – Bridgwater, 200 hours </w:t>
            </w:r>
          </w:p>
          <w:p w14:paraId="2B6BFE1A" w14:textId="68FFFD57" w:rsidR="007A7DB0" w:rsidRPr="007A7DB0" w:rsidRDefault="007A7DB0" w:rsidP="007A7DB0">
            <w:pPr>
              <w:pStyle w:val="ListParagraph"/>
              <w:numPr>
                <w:ilvl w:val="0"/>
                <w:numId w:val="29"/>
              </w:numPr>
              <w:autoSpaceDE w:val="0"/>
              <w:autoSpaceDN w:val="0"/>
              <w:adjustRightInd w:val="0"/>
              <w:spacing w:after="34"/>
              <w:rPr>
                <w:rFonts w:ascii="Arial" w:hAnsi="Arial" w:cs="Arial"/>
                <w:color w:val="000000"/>
                <w:sz w:val="24"/>
                <w:szCs w:val="24"/>
                <w:lang w:eastAsia="en-GB"/>
              </w:rPr>
            </w:pPr>
            <w:r w:rsidRPr="007A7DB0">
              <w:rPr>
                <w:rFonts w:ascii="Arial" w:hAnsi="Arial" w:cs="Arial"/>
                <w:color w:val="000000"/>
                <w:sz w:val="24"/>
                <w:szCs w:val="24"/>
                <w:lang w:eastAsia="en-GB"/>
              </w:rPr>
              <w:t>Lot 6 – Minehead, 200 hours</w:t>
            </w:r>
          </w:p>
          <w:p w14:paraId="426DD66E" w14:textId="77777777" w:rsidR="00671375" w:rsidRDefault="00671375" w:rsidP="001263B8">
            <w:pPr>
              <w:pStyle w:val="ListParagraph"/>
              <w:spacing w:line="259" w:lineRule="auto"/>
              <w:ind w:left="0"/>
              <w:contextualSpacing/>
              <w:rPr>
                <w:rFonts w:ascii="Arial" w:hAnsi="Arial" w:cs="Arial"/>
                <w:sz w:val="24"/>
                <w:szCs w:val="24"/>
              </w:rPr>
            </w:pPr>
          </w:p>
          <w:p w14:paraId="0AC818C0" w14:textId="44A77E00" w:rsidR="005C704C" w:rsidRPr="005C704C" w:rsidRDefault="005C704C" w:rsidP="005C704C">
            <w:pPr>
              <w:autoSpaceDE w:val="0"/>
              <w:autoSpaceDN w:val="0"/>
              <w:adjustRightInd w:val="0"/>
              <w:rPr>
                <w:rFonts w:cs="Arial"/>
                <w:i/>
                <w:iCs/>
                <w:color w:val="000000"/>
                <w:sz w:val="23"/>
                <w:szCs w:val="23"/>
                <w:lang w:eastAsia="en-GB"/>
              </w:rPr>
            </w:pPr>
            <w:r w:rsidRPr="005C704C">
              <w:rPr>
                <w:rFonts w:cs="Arial"/>
                <w:i/>
                <w:iCs/>
                <w:color w:val="000000"/>
                <w:sz w:val="23"/>
                <w:szCs w:val="23"/>
                <w:lang w:eastAsia="en-GB"/>
              </w:rPr>
              <w:t xml:space="preserve">The Executive report covering this procurement project </w:t>
            </w:r>
            <w:r w:rsidR="002632B1">
              <w:rPr>
                <w:rFonts w:cs="Arial"/>
                <w:i/>
                <w:iCs/>
                <w:color w:val="000000"/>
                <w:sz w:val="23"/>
                <w:szCs w:val="23"/>
                <w:lang w:eastAsia="en-GB"/>
              </w:rPr>
              <w:t>is</w:t>
            </w:r>
            <w:r w:rsidR="00081AEE">
              <w:rPr>
                <w:rFonts w:cs="Arial"/>
                <w:i/>
                <w:iCs/>
                <w:color w:val="000000"/>
                <w:sz w:val="23"/>
                <w:szCs w:val="23"/>
                <w:lang w:eastAsia="en-GB"/>
              </w:rPr>
              <w:t xml:space="preserve"> in the public domain</w:t>
            </w:r>
            <w:r w:rsidR="00081AEE">
              <w:rPr>
                <w:rStyle w:val="FootnoteReference"/>
                <w:rFonts w:cs="Arial"/>
                <w:i/>
                <w:iCs/>
                <w:color w:val="000000"/>
                <w:sz w:val="23"/>
                <w:szCs w:val="23"/>
                <w:lang w:eastAsia="en-GB"/>
              </w:rPr>
              <w:footnoteReference w:id="3"/>
            </w:r>
          </w:p>
          <w:p w14:paraId="021BF418" w14:textId="77777777" w:rsidR="005C704C" w:rsidRPr="00671375" w:rsidRDefault="005C704C" w:rsidP="001263B8">
            <w:pPr>
              <w:pStyle w:val="ListParagraph"/>
              <w:spacing w:line="259" w:lineRule="auto"/>
              <w:ind w:left="0"/>
              <w:contextualSpacing/>
              <w:rPr>
                <w:rFonts w:ascii="Arial" w:hAnsi="Arial" w:cs="Arial"/>
                <w:sz w:val="24"/>
                <w:szCs w:val="24"/>
              </w:rPr>
            </w:pPr>
          </w:p>
        </w:tc>
      </w:tr>
      <w:tr w:rsidR="007B3A16" w14:paraId="3D68D1C7" w14:textId="77777777" w:rsidTr="003A7469">
        <w:tc>
          <w:tcPr>
            <w:tcW w:w="421" w:type="dxa"/>
          </w:tcPr>
          <w:p w14:paraId="6855B097" w14:textId="31778A1D" w:rsidR="007B3A16" w:rsidRDefault="007B3A16">
            <w:pPr>
              <w:rPr>
                <w:rFonts w:cs="Arial"/>
                <w:b/>
                <w:bCs/>
              </w:rPr>
            </w:pPr>
            <w:r>
              <w:rPr>
                <w:rFonts w:cs="Arial"/>
                <w:b/>
                <w:bCs/>
              </w:rPr>
              <w:lastRenderedPageBreak/>
              <w:t>3.11</w:t>
            </w:r>
          </w:p>
        </w:tc>
        <w:tc>
          <w:tcPr>
            <w:tcW w:w="8904" w:type="dxa"/>
          </w:tcPr>
          <w:p w14:paraId="3FD292A6" w14:textId="77777777" w:rsidR="007B3A16" w:rsidRDefault="007B3A16" w:rsidP="00671375">
            <w:pPr>
              <w:tabs>
                <w:tab w:val="num" w:pos="714"/>
              </w:tabs>
              <w:rPr>
                <w:rFonts w:cs="Arial"/>
                <w:color w:val="000000"/>
                <w:sz w:val="23"/>
                <w:szCs w:val="23"/>
                <w:lang w:eastAsia="en-GB"/>
              </w:rPr>
            </w:pPr>
            <w:r w:rsidRPr="00CB7D5B">
              <w:rPr>
                <w:rFonts w:cs="Arial"/>
                <w:color w:val="000000"/>
                <w:sz w:val="23"/>
                <w:szCs w:val="23"/>
                <w:lang w:eastAsia="en-GB"/>
              </w:rPr>
              <w:t>This service, to be implemented from April 2024 will deliver better outcomes for people, enabling them to continue living at home for as long as it is safe to do so. This will contribute to the reduction of hospital admissions, delayed discharge or long-term care home placements and the costs associated with these.</w:t>
            </w:r>
          </w:p>
          <w:p w14:paraId="3A6485AB" w14:textId="49BD3596" w:rsidR="007B3A16" w:rsidRPr="00671375" w:rsidRDefault="007B3A16" w:rsidP="00671375">
            <w:pPr>
              <w:tabs>
                <w:tab w:val="num" w:pos="714"/>
              </w:tabs>
              <w:rPr>
                <w:rFonts w:cs="Arial"/>
              </w:rPr>
            </w:pPr>
          </w:p>
        </w:tc>
      </w:tr>
      <w:tr w:rsidR="007B3A16" w14:paraId="6BE3A4AC" w14:textId="77777777" w:rsidTr="003A7469">
        <w:tc>
          <w:tcPr>
            <w:tcW w:w="421" w:type="dxa"/>
          </w:tcPr>
          <w:p w14:paraId="0F73ECEC" w14:textId="41522BAA" w:rsidR="007B3A16" w:rsidRDefault="007B3A16">
            <w:pPr>
              <w:rPr>
                <w:rFonts w:cs="Arial"/>
                <w:b/>
                <w:bCs/>
              </w:rPr>
            </w:pPr>
            <w:r>
              <w:rPr>
                <w:rFonts w:cs="Arial"/>
                <w:b/>
                <w:bCs/>
              </w:rPr>
              <w:t>3.12</w:t>
            </w:r>
          </w:p>
        </w:tc>
        <w:tc>
          <w:tcPr>
            <w:tcW w:w="8904" w:type="dxa"/>
          </w:tcPr>
          <w:p w14:paraId="6CAE8F6A" w14:textId="0F3B539E" w:rsidR="0045001A" w:rsidRPr="00CB7D5B" w:rsidRDefault="0045001A" w:rsidP="0045001A">
            <w:pPr>
              <w:autoSpaceDE w:val="0"/>
              <w:autoSpaceDN w:val="0"/>
              <w:adjustRightInd w:val="0"/>
              <w:rPr>
                <w:rFonts w:cs="Arial"/>
                <w:color w:val="000000"/>
                <w:sz w:val="23"/>
                <w:szCs w:val="23"/>
                <w:lang w:eastAsia="en-GB"/>
              </w:rPr>
            </w:pPr>
            <w:r w:rsidRPr="00CB7D5B">
              <w:rPr>
                <w:rFonts w:cs="Arial"/>
                <w:color w:val="000000"/>
                <w:sz w:val="23"/>
                <w:szCs w:val="23"/>
                <w:lang w:eastAsia="en-GB"/>
              </w:rPr>
              <w:t>Somerset Council currently commissions around 19,000 hours of home care per week through Home Care providers, supporting around 1,400 adults. The gross cost of these services is approximately £26m per year (2</w:t>
            </w:r>
            <w:r>
              <w:rPr>
                <w:rFonts w:cs="Arial"/>
                <w:color w:val="000000"/>
                <w:sz w:val="23"/>
                <w:szCs w:val="23"/>
                <w:lang w:eastAsia="en-GB"/>
              </w:rPr>
              <w:t>02</w:t>
            </w:r>
            <w:r w:rsidRPr="00CB7D5B">
              <w:rPr>
                <w:rFonts w:cs="Arial"/>
                <w:color w:val="000000"/>
                <w:sz w:val="23"/>
                <w:szCs w:val="23"/>
                <w:lang w:eastAsia="en-GB"/>
              </w:rPr>
              <w:t xml:space="preserve">3/24 prices). The current contracting arrangements for Care and Support at Home can be inefficient and does not encourage a collaborative approach to meeting needs at a local level. There are currently 49 active home care providers across the county but </w:t>
            </w:r>
            <w:r w:rsidR="006E2F70">
              <w:rPr>
                <w:rFonts w:cs="Arial"/>
                <w:color w:val="000000"/>
                <w:sz w:val="23"/>
                <w:szCs w:val="23"/>
                <w:lang w:eastAsia="en-GB"/>
              </w:rPr>
              <w:t>analysis reveal</w:t>
            </w:r>
            <w:r w:rsidR="00406C6F">
              <w:rPr>
                <w:rFonts w:cs="Arial"/>
                <w:color w:val="000000"/>
                <w:sz w:val="23"/>
                <w:szCs w:val="23"/>
                <w:lang w:eastAsia="en-GB"/>
              </w:rPr>
              <w:t xml:space="preserve">s </w:t>
            </w:r>
            <w:r w:rsidRPr="00CB7D5B">
              <w:rPr>
                <w:rFonts w:cs="Arial"/>
                <w:color w:val="000000"/>
                <w:sz w:val="23"/>
                <w:szCs w:val="23"/>
                <w:lang w:eastAsia="en-GB"/>
              </w:rPr>
              <w:t xml:space="preserve">50% of the delivery is from just 8 providers. </w:t>
            </w:r>
          </w:p>
          <w:p w14:paraId="6D54DE5E" w14:textId="4BD03446" w:rsidR="007B3A16" w:rsidRPr="00CB7D5B" w:rsidRDefault="007B3A16" w:rsidP="0045001A">
            <w:pPr>
              <w:tabs>
                <w:tab w:val="num" w:pos="714"/>
              </w:tabs>
              <w:rPr>
                <w:rFonts w:cs="Arial"/>
                <w:color w:val="000000"/>
                <w:sz w:val="23"/>
                <w:szCs w:val="23"/>
                <w:lang w:eastAsia="en-GB"/>
              </w:rPr>
            </w:pPr>
          </w:p>
        </w:tc>
      </w:tr>
      <w:tr w:rsidR="00406C6F" w14:paraId="1891F9AB" w14:textId="77777777" w:rsidTr="003A7469">
        <w:tc>
          <w:tcPr>
            <w:tcW w:w="421" w:type="dxa"/>
          </w:tcPr>
          <w:p w14:paraId="16F1DB3A" w14:textId="1F9B82E8" w:rsidR="00406C6F" w:rsidRDefault="00406C6F">
            <w:pPr>
              <w:rPr>
                <w:rFonts w:cs="Arial"/>
                <w:b/>
                <w:bCs/>
              </w:rPr>
            </w:pPr>
            <w:r>
              <w:rPr>
                <w:rFonts w:cs="Arial"/>
                <w:b/>
                <w:bCs/>
              </w:rPr>
              <w:t>3.13</w:t>
            </w:r>
          </w:p>
        </w:tc>
        <w:tc>
          <w:tcPr>
            <w:tcW w:w="8904" w:type="dxa"/>
          </w:tcPr>
          <w:p w14:paraId="3E183BE1" w14:textId="0833E721" w:rsidR="003D4623" w:rsidRPr="00CB7D5B" w:rsidRDefault="00406C6F" w:rsidP="003D4623">
            <w:pPr>
              <w:pageBreakBefore/>
              <w:autoSpaceDE w:val="0"/>
              <w:autoSpaceDN w:val="0"/>
              <w:adjustRightInd w:val="0"/>
              <w:rPr>
                <w:rFonts w:cs="Arial"/>
                <w:color w:val="000000"/>
                <w:sz w:val="23"/>
                <w:szCs w:val="23"/>
                <w:lang w:eastAsia="en-GB"/>
              </w:rPr>
            </w:pPr>
            <w:r w:rsidRPr="00CB7D5B">
              <w:rPr>
                <w:rFonts w:cs="Arial"/>
                <w:color w:val="000000"/>
                <w:sz w:val="23"/>
                <w:szCs w:val="23"/>
                <w:lang w:eastAsia="en-GB"/>
              </w:rPr>
              <w:t xml:space="preserve">The re-commissioning exercise has been undertaken to give an opportunity to improve the quality and robustness of the care and support at home services to ensure they are fit for the future. The Local Authority role is seen as critical and under </w:t>
            </w:r>
            <w:r>
              <w:rPr>
                <w:rFonts w:cs="Arial"/>
                <w:color w:val="000000"/>
                <w:sz w:val="23"/>
                <w:szCs w:val="23"/>
                <w:lang w:eastAsia="en-GB"/>
              </w:rPr>
              <w:t>S</w:t>
            </w:r>
            <w:r w:rsidRPr="00CB7D5B">
              <w:rPr>
                <w:rFonts w:cs="Arial"/>
                <w:color w:val="000000"/>
                <w:sz w:val="23"/>
                <w:szCs w:val="23"/>
                <w:lang w:eastAsia="en-GB"/>
              </w:rPr>
              <w:t>ection 5 of the Care Act, the duty to shape and maintain an efficient and effective market of services for meeting care and support needs in the local area is firmly placed with Somerset Council</w:t>
            </w:r>
            <w:r w:rsidR="003D4623">
              <w:rPr>
                <w:rFonts w:cs="Arial"/>
                <w:color w:val="000000"/>
                <w:sz w:val="23"/>
                <w:szCs w:val="23"/>
                <w:lang w:eastAsia="en-GB"/>
              </w:rPr>
              <w:t xml:space="preserve">.  </w:t>
            </w:r>
            <w:r w:rsidR="003D4623" w:rsidRPr="00CB7D5B">
              <w:rPr>
                <w:rFonts w:cs="Arial"/>
                <w:color w:val="000000"/>
                <w:sz w:val="23"/>
                <w:szCs w:val="23"/>
                <w:lang w:eastAsia="en-GB"/>
              </w:rPr>
              <w:t xml:space="preserve">The re-commissioning plan included a review of current services with key stakeholders, partners, providers and customers to co-produce a service model that could respond to the following challenges: </w:t>
            </w:r>
          </w:p>
          <w:p w14:paraId="42BE0945" w14:textId="77777777" w:rsidR="003D4623" w:rsidRPr="00CB7D5B" w:rsidRDefault="003D4623" w:rsidP="003D4623">
            <w:pPr>
              <w:pageBreakBefore/>
              <w:autoSpaceDE w:val="0"/>
              <w:autoSpaceDN w:val="0"/>
              <w:adjustRightInd w:val="0"/>
              <w:rPr>
                <w:rFonts w:cs="Arial"/>
                <w:color w:val="000000"/>
                <w:sz w:val="23"/>
                <w:szCs w:val="23"/>
                <w:lang w:eastAsia="en-GB"/>
              </w:rPr>
            </w:pPr>
          </w:p>
          <w:p w14:paraId="0F767070" w14:textId="77777777" w:rsidR="003D4623" w:rsidRPr="003D4623" w:rsidRDefault="003D4623" w:rsidP="003D4623">
            <w:pPr>
              <w:numPr>
                <w:ilvl w:val="0"/>
                <w:numId w:val="30"/>
              </w:numPr>
              <w:autoSpaceDE w:val="0"/>
              <w:autoSpaceDN w:val="0"/>
              <w:adjustRightInd w:val="0"/>
              <w:spacing w:after="34"/>
              <w:rPr>
                <w:rFonts w:cs="Arial"/>
                <w:color w:val="000000"/>
                <w:lang w:eastAsia="en-GB"/>
              </w:rPr>
            </w:pPr>
            <w:r w:rsidRPr="003D4623">
              <w:rPr>
                <w:rFonts w:cs="Arial"/>
                <w:color w:val="000000"/>
                <w:lang w:eastAsia="en-GB"/>
              </w:rPr>
              <w:t xml:space="preserve">Demographic changes to an increasing elderly population </w:t>
            </w:r>
          </w:p>
          <w:p w14:paraId="4DC44065" w14:textId="77777777" w:rsidR="003D4623" w:rsidRPr="003D4623" w:rsidRDefault="003D4623" w:rsidP="003D4623">
            <w:pPr>
              <w:numPr>
                <w:ilvl w:val="0"/>
                <w:numId w:val="30"/>
              </w:numPr>
              <w:autoSpaceDE w:val="0"/>
              <w:autoSpaceDN w:val="0"/>
              <w:adjustRightInd w:val="0"/>
              <w:spacing w:after="34"/>
              <w:rPr>
                <w:rFonts w:cs="Arial"/>
                <w:color w:val="000000"/>
                <w:lang w:eastAsia="en-GB"/>
              </w:rPr>
            </w:pPr>
            <w:r w:rsidRPr="003D4623">
              <w:rPr>
                <w:rFonts w:cs="Arial"/>
                <w:color w:val="000000"/>
                <w:lang w:eastAsia="en-GB"/>
              </w:rPr>
              <w:t xml:space="preserve">Increased demand on the health and social care services that impact on hospital admissions and delays in discharges. </w:t>
            </w:r>
          </w:p>
          <w:p w14:paraId="7CE73602" w14:textId="77777777" w:rsidR="003D4623" w:rsidRPr="003D4623" w:rsidRDefault="003D4623" w:rsidP="003D4623">
            <w:pPr>
              <w:numPr>
                <w:ilvl w:val="0"/>
                <w:numId w:val="30"/>
              </w:numPr>
              <w:autoSpaceDE w:val="0"/>
              <w:autoSpaceDN w:val="0"/>
              <w:adjustRightInd w:val="0"/>
              <w:spacing w:after="34"/>
              <w:rPr>
                <w:rFonts w:cs="Arial"/>
                <w:color w:val="000000"/>
                <w:lang w:eastAsia="en-GB"/>
              </w:rPr>
            </w:pPr>
            <w:r w:rsidRPr="003D4623">
              <w:rPr>
                <w:rFonts w:cs="Arial"/>
                <w:color w:val="000000"/>
                <w:lang w:eastAsia="en-GB"/>
              </w:rPr>
              <w:t xml:space="preserve">Financial challenges regarding Fair Cost of Care and Cost of Living Crisis </w:t>
            </w:r>
          </w:p>
          <w:p w14:paraId="4D0FEA54" w14:textId="4A5779D5" w:rsidR="003D4623" w:rsidRPr="003D4623" w:rsidRDefault="003D4623" w:rsidP="003D4623">
            <w:pPr>
              <w:numPr>
                <w:ilvl w:val="0"/>
                <w:numId w:val="30"/>
              </w:numPr>
              <w:autoSpaceDE w:val="0"/>
              <w:autoSpaceDN w:val="0"/>
              <w:adjustRightInd w:val="0"/>
              <w:rPr>
                <w:rFonts w:cs="Arial"/>
                <w:color w:val="000000"/>
                <w:lang w:eastAsia="en-GB"/>
              </w:rPr>
            </w:pPr>
            <w:r w:rsidRPr="003D4623">
              <w:rPr>
                <w:rFonts w:cs="Arial"/>
                <w:color w:val="000000"/>
                <w:lang w:eastAsia="en-GB"/>
              </w:rPr>
              <w:t>Recruitment and retention of workforce</w:t>
            </w:r>
            <w:r w:rsidR="001D6BC9">
              <w:rPr>
                <w:rFonts w:cs="Arial"/>
                <w:color w:val="000000"/>
                <w:lang w:eastAsia="en-GB"/>
              </w:rPr>
              <w:t>.</w:t>
            </w:r>
          </w:p>
          <w:p w14:paraId="57740288" w14:textId="769D7F3D" w:rsidR="00406C6F" w:rsidRPr="00CB7D5B" w:rsidRDefault="00406C6F" w:rsidP="0045001A">
            <w:pPr>
              <w:autoSpaceDE w:val="0"/>
              <w:autoSpaceDN w:val="0"/>
              <w:adjustRightInd w:val="0"/>
              <w:rPr>
                <w:rFonts w:cs="Arial"/>
                <w:color w:val="000000"/>
                <w:sz w:val="23"/>
                <w:szCs w:val="23"/>
                <w:lang w:eastAsia="en-GB"/>
              </w:rPr>
            </w:pPr>
          </w:p>
        </w:tc>
      </w:tr>
      <w:tr w:rsidR="001D6BC9" w14:paraId="1B610310" w14:textId="77777777" w:rsidTr="003A7469">
        <w:tc>
          <w:tcPr>
            <w:tcW w:w="421" w:type="dxa"/>
          </w:tcPr>
          <w:p w14:paraId="3C8E8CE0" w14:textId="1EA7F3E3" w:rsidR="001D6BC9" w:rsidRDefault="001D6BC9">
            <w:pPr>
              <w:rPr>
                <w:rFonts w:cs="Arial"/>
                <w:b/>
                <w:bCs/>
              </w:rPr>
            </w:pPr>
            <w:r>
              <w:rPr>
                <w:rFonts w:cs="Arial"/>
                <w:b/>
                <w:bCs/>
              </w:rPr>
              <w:t>3.14</w:t>
            </w:r>
          </w:p>
        </w:tc>
        <w:tc>
          <w:tcPr>
            <w:tcW w:w="8904" w:type="dxa"/>
          </w:tcPr>
          <w:p w14:paraId="7B58DE00" w14:textId="77777777" w:rsidR="001D6BC9" w:rsidRPr="004D69E8" w:rsidRDefault="001D6BC9" w:rsidP="001D6BC9">
            <w:pPr>
              <w:autoSpaceDE w:val="0"/>
              <w:autoSpaceDN w:val="0"/>
              <w:adjustRightInd w:val="0"/>
              <w:rPr>
                <w:rFonts w:cs="Arial"/>
                <w:color w:val="000000"/>
                <w:lang w:eastAsia="en-GB"/>
              </w:rPr>
            </w:pPr>
            <w:r w:rsidRPr="004D69E8">
              <w:rPr>
                <w:rFonts w:cs="Arial"/>
                <w:color w:val="000000"/>
                <w:lang w:eastAsia="en-GB"/>
              </w:rPr>
              <w:t xml:space="preserve">A further process will be developed and implemented that will utilise a Dynamic </w:t>
            </w:r>
          </w:p>
          <w:p w14:paraId="1B49A78E" w14:textId="781C69E0" w:rsidR="001D6BC9" w:rsidRPr="004D69E8" w:rsidRDefault="001D6BC9" w:rsidP="001D6BC9">
            <w:pPr>
              <w:tabs>
                <w:tab w:val="num" w:pos="714"/>
              </w:tabs>
              <w:rPr>
                <w:rFonts w:cs="Arial"/>
                <w:color w:val="000000"/>
                <w:lang w:eastAsia="en-GB"/>
              </w:rPr>
            </w:pPr>
            <w:r w:rsidRPr="004D69E8">
              <w:rPr>
                <w:rFonts w:cs="Arial"/>
                <w:color w:val="000000"/>
                <w:lang w:eastAsia="en-GB"/>
              </w:rPr>
              <w:t>Purchasing System (DPS) to purchase care and support services with providers that have met the eligibility criteria to join. The DPS will be set up across 13 zones, which are broadly aligned with the</w:t>
            </w:r>
            <w:r w:rsidR="004D69E8" w:rsidRPr="004D69E8">
              <w:rPr>
                <w:rFonts w:cs="Arial"/>
                <w:color w:val="000000"/>
                <w:lang w:eastAsia="en-GB"/>
              </w:rPr>
              <w:t xml:space="preserve"> county’s</w:t>
            </w:r>
            <w:r w:rsidRPr="004D69E8">
              <w:rPr>
                <w:rFonts w:cs="Arial"/>
                <w:color w:val="000000"/>
                <w:lang w:eastAsia="en-GB"/>
              </w:rPr>
              <w:t xml:space="preserve"> Primary Care Networks. This will enable Somerset Council to manage the market and joint working more effectively</w:t>
            </w:r>
            <w:r w:rsidR="004D69E8" w:rsidRPr="004D69E8">
              <w:rPr>
                <w:rFonts w:cs="Arial"/>
                <w:color w:val="000000"/>
                <w:lang w:eastAsia="en-GB"/>
              </w:rPr>
              <w:t>.</w:t>
            </w:r>
          </w:p>
          <w:p w14:paraId="43BF4258" w14:textId="77777777" w:rsidR="001D6BC9" w:rsidRPr="004D69E8" w:rsidRDefault="001D6BC9" w:rsidP="003D4623">
            <w:pPr>
              <w:pageBreakBefore/>
              <w:autoSpaceDE w:val="0"/>
              <w:autoSpaceDN w:val="0"/>
              <w:adjustRightInd w:val="0"/>
              <w:rPr>
                <w:rFonts w:cs="Arial"/>
                <w:color w:val="000000"/>
                <w:lang w:eastAsia="en-GB"/>
              </w:rPr>
            </w:pPr>
          </w:p>
        </w:tc>
      </w:tr>
      <w:tr w:rsidR="004D69E8" w14:paraId="01ACE6C1" w14:textId="77777777" w:rsidTr="003A7469">
        <w:tc>
          <w:tcPr>
            <w:tcW w:w="421" w:type="dxa"/>
          </w:tcPr>
          <w:p w14:paraId="41BBA6FC" w14:textId="785294AC" w:rsidR="004D69E8" w:rsidRDefault="004D69E8">
            <w:pPr>
              <w:rPr>
                <w:rFonts w:cs="Arial"/>
                <w:b/>
                <w:bCs/>
              </w:rPr>
            </w:pPr>
            <w:r>
              <w:rPr>
                <w:rFonts w:cs="Arial"/>
                <w:b/>
                <w:bCs/>
              </w:rPr>
              <w:t>3.15</w:t>
            </w:r>
          </w:p>
        </w:tc>
        <w:tc>
          <w:tcPr>
            <w:tcW w:w="8904" w:type="dxa"/>
          </w:tcPr>
          <w:p w14:paraId="71EA7791" w14:textId="0E50F03C" w:rsidR="004D69E8" w:rsidRDefault="004D69E8" w:rsidP="004D69E8">
            <w:pPr>
              <w:tabs>
                <w:tab w:val="num" w:pos="714"/>
              </w:tabs>
              <w:rPr>
                <w:rStyle w:val="eop"/>
                <w:rFonts w:cs="Arial"/>
                <w:color w:val="000000"/>
                <w:shd w:val="clear" w:color="auto" w:fill="FFFFFF"/>
              </w:rPr>
            </w:pPr>
            <w:r w:rsidRPr="004D69E8">
              <w:rPr>
                <w:rFonts w:cs="Arial"/>
                <w:b/>
                <w:bCs/>
                <w:color w:val="000000"/>
                <w:lang w:eastAsia="en-GB"/>
              </w:rPr>
              <w:t xml:space="preserve">Levels of unmet homecare need: </w:t>
            </w:r>
            <w:r w:rsidR="0002090F" w:rsidRPr="0002090F">
              <w:rPr>
                <w:rStyle w:val="normaltextrun"/>
                <w:rFonts w:cs="Arial"/>
                <w:color w:val="000000"/>
                <w:shd w:val="clear" w:color="auto" w:fill="FFFFFF"/>
              </w:rPr>
              <w:t>Somerset has continued to see the impact of additional investment and focused commissioning activity, as well as some pick up in care provider recruitment of new starters</w:t>
            </w:r>
            <w:r w:rsidR="00634512">
              <w:rPr>
                <w:rStyle w:val="normaltextrun"/>
                <w:rFonts w:cs="Arial"/>
                <w:color w:val="000000"/>
                <w:shd w:val="clear" w:color="auto" w:fill="FFFFFF"/>
              </w:rPr>
              <w:t xml:space="preserve"> </w:t>
            </w:r>
            <w:r w:rsidR="00634512">
              <w:rPr>
                <w:rStyle w:val="normaltextrun"/>
                <w:shd w:val="clear" w:color="auto" w:fill="FFFFFF"/>
              </w:rPr>
              <w:t>including from overseas</w:t>
            </w:r>
            <w:r w:rsidR="0002090F" w:rsidRPr="0002090F">
              <w:rPr>
                <w:rStyle w:val="normaltextrun"/>
                <w:rFonts w:cs="Arial"/>
                <w:color w:val="000000"/>
                <w:shd w:val="clear" w:color="auto" w:fill="FFFFFF"/>
              </w:rPr>
              <w:t>, with levels of unmet homecare need falling to their lowest ever levels since March 2021.  We are presently in a position where provision of domiciliary care outstrips demand, meaning we are not currently accepting any new home care providers onto our procurement framework. This is a significantly improved position to where we were a year ago.</w:t>
            </w:r>
            <w:r w:rsidR="0002090F" w:rsidRPr="0002090F">
              <w:rPr>
                <w:rStyle w:val="eop"/>
                <w:rFonts w:cs="Arial"/>
                <w:color w:val="000000"/>
                <w:shd w:val="clear" w:color="auto" w:fill="FFFFFF"/>
              </w:rPr>
              <w:t> </w:t>
            </w:r>
          </w:p>
          <w:p w14:paraId="6EAE37D3" w14:textId="77777777" w:rsidR="0052716D" w:rsidRDefault="0052716D" w:rsidP="004D69E8">
            <w:pPr>
              <w:tabs>
                <w:tab w:val="num" w:pos="714"/>
              </w:tabs>
              <w:rPr>
                <w:rStyle w:val="eop"/>
                <w:shd w:val="clear" w:color="auto" w:fill="FFFFFF"/>
              </w:rPr>
            </w:pPr>
          </w:p>
          <w:p w14:paraId="24BD4074" w14:textId="1F07713C" w:rsidR="0052716D" w:rsidRPr="004D69E8" w:rsidRDefault="0052716D" w:rsidP="004D69E8">
            <w:pPr>
              <w:tabs>
                <w:tab w:val="num" w:pos="714"/>
              </w:tabs>
              <w:rPr>
                <w:rFonts w:cs="Arial"/>
                <w:color w:val="000000"/>
                <w:lang w:eastAsia="en-GB"/>
              </w:rPr>
            </w:pPr>
            <w:r w:rsidRPr="0052716D">
              <w:rPr>
                <w:rFonts w:cs="Arial"/>
                <w:noProof/>
                <w:color w:val="000000"/>
                <w:lang w:eastAsia="en-GB"/>
              </w:rPr>
              <w:lastRenderedPageBreak/>
              <w:drawing>
                <wp:inline distT="0" distB="0" distL="0" distR="0" wp14:anchorId="7B8FDF63" wp14:editId="6345C36E">
                  <wp:extent cx="5249993" cy="1325574"/>
                  <wp:effectExtent l="0" t="0" r="8255" b="8255"/>
                  <wp:docPr id="212912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29265" name=""/>
                          <pic:cNvPicPr/>
                        </pic:nvPicPr>
                        <pic:blipFill>
                          <a:blip r:embed="rId15"/>
                          <a:stretch>
                            <a:fillRect/>
                          </a:stretch>
                        </pic:blipFill>
                        <pic:spPr>
                          <a:xfrm>
                            <a:off x="0" y="0"/>
                            <a:ext cx="5278896" cy="1332872"/>
                          </a:xfrm>
                          <a:prstGeom prst="rect">
                            <a:avLst/>
                          </a:prstGeom>
                        </pic:spPr>
                      </pic:pic>
                    </a:graphicData>
                  </a:graphic>
                </wp:inline>
              </w:drawing>
            </w:r>
          </w:p>
          <w:p w14:paraId="5701F8A6" w14:textId="4AF9D775" w:rsidR="004D69E8" w:rsidRPr="004D69E8" w:rsidRDefault="004D69E8" w:rsidP="001D6BC9">
            <w:pPr>
              <w:autoSpaceDE w:val="0"/>
              <w:autoSpaceDN w:val="0"/>
              <w:adjustRightInd w:val="0"/>
              <w:rPr>
                <w:rFonts w:cs="Arial"/>
                <w:b/>
                <w:bCs/>
                <w:color w:val="000000"/>
                <w:lang w:eastAsia="en-GB"/>
              </w:rPr>
            </w:pPr>
          </w:p>
        </w:tc>
      </w:tr>
      <w:tr w:rsidR="00176842" w14:paraId="52781D68" w14:textId="77777777" w:rsidTr="003A7469">
        <w:tc>
          <w:tcPr>
            <w:tcW w:w="421" w:type="dxa"/>
          </w:tcPr>
          <w:p w14:paraId="6ABF10A3" w14:textId="6EDB1FC6" w:rsidR="00176842" w:rsidRDefault="00176842">
            <w:pPr>
              <w:rPr>
                <w:rFonts w:cs="Arial"/>
                <w:b/>
                <w:bCs/>
              </w:rPr>
            </w:pPr>
            <w:r>
              <w:rPr>
                <w:rFonts w:cs="Arial"/>
                <w:b/>
                <w:bCs/>
              </w:rPr>
              <w:lastRenderedPageBreak/>
              <w:t>3.16</w:t>
            </w:r>
          </w:p>
        </w:tc>
        <w:tc>
          <w:tcPr>
            <w:tcW w:w="8904" w:type="dxa"/>
          </w:tcPr>
          <w:p w14:paraId="08C12DA6" w14:textId="5A27454C" w:rsidR="00176842" w:rsidRPr="00A07740" w:rsidRDefault="00176842" w:rsidP="00176842">
            <w:pPr>
              <w:pStyle w:val="paragraph"/>
              <w:spacing w:before="0" w:beforeAutospacing="0" w:after="0" w:afterAutospacing="0"/>
              <w:textAlignment w:val="baseline"/>
              <w:rPr>
                <w:rStyle w:val="eop"/>
                <w:rFonts w:ascii="Arial" w:hAnsi="Arial" w:cs="Arial"/>
                <w:color w:val="000000"/>
                <w:sz w:val="24"/>
                <w:szCs w:val="24"/>
              </w:rPr>
            </w:pPr>
            <w:r w:rsidRPr="00A07740">
              <w:rPr>
                <w:rFonts w:ascii="Arial" w:hAnsi="Arial" w:cs="Arial"/>
                <w:b/>
                <w:bCs/>
                <w:color w:val="000000"/>
                <w:sz w:val="24"/>
                <w:szCs w:val="24"/>
              </w:rPr>
              <w:t xml:space="preserve">Homecare Contract ‘handbacks’: </w:t>
            </w:r>
            <w:r w:rsidRPr="00C314E5">
              <w:rPr>
                <w:rStyle w:val="normaltextrun"/>
                <w:rFonts w:ascii="Arial" w:hAnsi="Arial" w:cs="Arial"/>
                <w:color w:val="000000"/>
                <w:sz w:val="24"/>
                <w:szCs w:val="24"/>
              </w:rPr>
              <w:t>Although occasional care package handbacks are not uncommon and can occur for a variety of reasons, most commonly</w:t>
            </w:r>
            <w:r w:rsidR="00C314E5" w:rsidRPr="00C314E5">
              <w:rPr>
                <w:rStyle w:val="normaltextrun"/>
                <w:rFonts w:ascii="Arial" w:hAnsi="Arial" w:cs="Arial"/>
                <w:color w:val="000000"/>
                <w:sz w:val="24"/>
                <w:szCs w:val="24"/>
              </w:rPr>
              <w:t xml:space="preserve"> provider</w:t>
            </w:r>
            <w:r w:rsidRPr="00C314E5">
              <w:rPr>
                <w:rStyle w:val="normaltextrun"/>
                <w:rFonts w:ascii="Arial" w:hAnsi="Arial" w:cs="Arial"/>
                <w:color w:val="000000"/>
                <w:sz w:val="24"/>
                <w:szCs w:val="24"/>
              </w:rPr>
              <w:t xml:space="preserve"> staffing capacity issues, these rose sharply in Somerset during the pandemic as evidenced by annual stats below:</w:t>
            </w:r>
            <w:r w:rsidRPr="00A07740">
              <w:rPr>
                <w:rStyle w:val="eop"/>
                <w:rFonts w:ascii="Arial" w:hAnsi="Arial" w:cs="Arial"/>
                <w:color w:val="000000"/>
                <w:sz w:val="24"/>
                <w:szCs w:val="24"/>
              </w:rPr>
              <w:t> </w:t>
            </w:r>
          </w:p>
          <w:p w14:paraId="7600DE17" w14:textId="77777777" w:rsidR="00176842" w:rsidRPr="006D5541" w:rsidRDefault="00176842" w:rsidP="00176842">
            <w:pPr>
              <w:pStyle w:val="paragraph"/>
              <w:spacing w:before="0" w:beforeAutospacing="0" w:after="0" w:afterAutospacing="0"/>
              <w:textAlignment w:val="baseline"/>
              <w:rPr>
                <w:rFonts w:ascii="Arial" w:hAnsi="Arial" w:cs="Arial"/>
                <w:sz w:val="12"/>
                <w:szCs w:val="12"/>
              </w:rPr>
            </w:pPr>
          </w:p>
          <w:p w14:paraId="1A551FAE" w14:textId="723A1EB5" w:rsidR="00176842" w:rsidRPr="00A07740" w:rsidRDefault="00176842" w:rsidP="00176842">
            <w:pPr>
              <w:pStyle w:val="paragraph"/>
              <w:numPr>
                <w:ilvl w:val="0"/>
                <w:numId w:val="12"/>
              </w:numPr>
              <w:spacing w:before="0" w:beforeAutospacing="0" w:after="0" w:afterAutospacing="0"/>
              <w:textAlignment w:val="baseline"/>
              <w:rPr>
                <w:rFonts w:ascii="Arial" w:hAnsi="Arial" w:cs="Arial"/>
                <w:sz w:val="24"/>
                <w:szCs w:val="24"/>
              </w:rPr>
            </w:pPr>
            <w:r w:rsidRPr="00A07740">
              <w:rPr>
                <w:rStyle w:val="normaltextrun"/>
                <w:rFonts w:ascii="Arial" w:hAnsi="Arial" w:cs="Arial"/>
                <w:color w:val="000000"/>
                <w:sz w:val="24"/>
                <w:szCs w:val="24"/>
              </w:rPr>
              <w:t>2021 – 233 package handbacks</w:t>
            </w:r>
            <w:r w:rsidRPr="00A07740">
              <w:rPr>
                <w:rStyle w:val="eop"/>
                <w:rFonts w:ascii="Arial" w:hAnsi="Arial" w:cs="Arial"/>
                <w:color w:val="000000"/>
                <w:sz w:val="24"/>
                <w:szCs w:val="24"/>
              </w:rPr>
              <w:t> </w:t>
            </w:r>
            <w:r w:rsidR="002E3E7A">
              <w:rPr>
                <w:rStyle w:val="eop"/>
                <w:rFonts w:ascii="Arial" w:hAnsi="Arial" w:cs="Arial"/>
                <w:color w:val="000000"/>
                <w:sz w:val="24"/>
                <w:szCs w:val="24"/>
              </w:rPr>
              <w:t>(</w:t>
            </w:r>
            <w:r w:rsidR="00BA6541">
              <w:rPr>
                <w:rStyle w:val="eop"/>
                <w:rFonts w:ascii="Arial" w:hAnsi="Arial" w:cs="Arial"/>
                <w:color w:val="000000"/>
                <w:sz w:val="24"/>
                <w:szCs w:val="24"/>
              </w:rPr>
              <w:t>average per month – 19.4)</w:t>
            </w:r>
          </w:p>
          <w:p w14:paraId="4EAD0B7C" w14:textId="39EDF3FE" w:rsidR="00176842" w:rsidRPr="00A07740" w:rsidRDefault="00176842" w:rsidP="00176842">
            <w:pPr>
              <w:pStyle w:val="paragraph"/>
              <w:numPr>
                <w:ilvl w:val="0"/>
                <w:numId w:val="12"/>
              </w:numPr>
              <w:spacing w:before="0" w:beforeAutospacing="0" w:after="0" w:afterAutospacing="0"/>
              <w:textAlignment w:val="baseline"/>
              <w:rPr>
                <w:rStyle w:val="eop"/>
                <w:rFonts w:ascii="Arial" w:hAnsi="Arial" w:cs="Arial"/>
                <w:sz w:val="24"/>
                <w:szCs w:val="24"/>
              </w:rPr>
            </w:pPr>
            <w:r w:rsidRPr="00A07740">
              <w:rPr>
                <w:rStyle w:val="normaltextrun"/>
                <w:rFonts w:ascii="Arial" w:hAnsi="Arial" w:cs="Arial"/>
                <w:color w:val="000000"/>
                <w:sz w:val="24"/>
                <w:szCs w:val="24"/>
              </w:rPr>
              <w:t>2022 – 238 package handbacks</w:t>
            </w:r>
            <w:r w:rsidRPr="00A07740">
              <w:rPr>
                <w:rStyle w:val="eop"/>
                <w:rFonts w:ascii="Arial" w:hAnsi="Arial" w:cs="Arial"/>
                <w:color w:val="000000"/>
                <w:sz w:val="24"/>
                <w:szCs w:val="24"/>
              </w:rPr>
              <w:t> </w:t>
            </w:r>
            <w:r w:rsidR="00BA6541">
              <w:rPr>
                <w:rStyle w:val="eop"/>
                <w:rFonts w:ascii="Arial" w:hAnsi="Arial" w:cs="Arial"/>
                <w:color w:val="000000"/>
                <w:sz w:val="24"/>
                <w:szCs w:val="24"/>
              </w:rPr>
              <w:t xml:space="preserve">(average per month </w:t>
            </w:r>
            <w:r w:rsidR="00EE19FC">
              <w:rPr>
                <w:rStyle w:val="eop"/>
                <w:rFonts w:ascii="Arial" w:hAnsi="Arial" w:cs="Arial"/>
                <w:color w:val="000000"/>
                <w:sz w:val="24"/>
                <w:szCs w:val="24"/>
              </w:rPr>
              <w:t>–</w:t>
            </w:r>
            <w:r w:rsidR="00BA6541">
              <w:rPr>
                <w:rStyle w:val="eop"/>
                <w:rFonts w:ascii="Arial" w:hAnsi="Arial" w:cs="Arial"/>
                <w:color w:val="000000"/>
                <w:sz w:val="24"/>
                <w:szCs w:val="24"/>
              </w:rPr>
              <w:t xml:space="preserve"> </w:t>
            </w:r>
            <w:r w:rsidR="00EE19FC">
              <w:rPr>
                <w:rStyle w:val="eop"/>
                <w:rFonts w:ascii="Arial" w:hAnsi="Arial" w:cs="Arial"/>
                <w:color w:val="000000"/>
                <w:sz w:val="24"/>
                <w:szCs w:val="24"/>
              </w:rPr>
              <w:t>19.8)</w:t>
            </w:r>
          </w:p>
          <w:p w14:paraId="2749A647" w14:textId="1C01BC24" w:rsidR="00C314E5" w:rsidRPr="00C314E5" w:rsidRDefault="00176842" w:rsidP="00C314E5">
            <w:pPr>
              <w:pStyle w:val="paragraph"/>
              <w:numPr>
                <w:ilvl w:val="0"/>
                <w:numId w:val="12"/>
              </w:numPr>
              <w:spacing w:before="0" w:beforeAutospacing="0" w:after="0" w:afterAutospacing="0"/>
              <w:textAlignment w:val="baseline"/>
              <w:rPr>
                <w:rStyle w:val="eop"/>
                <w:rFonts w:ascii="Arial" w:hAnsi="Arial" w:cs="Arial"/>
                <w:sz w:val="24"/>
                <w:szCs w:val="24"/>
              </w:rPr>
            </w:pPr>
            <w:r w:rsidRPr="00A07740">
              <w:rPr>
                <w:rStyle w:val="eop"/>
                <w:rFonts w:ascii="Arial" w:hAnsi="Arial" w:cs="Arial"/>
                <w:color w:val="000000"/>
                <w:sz w:val="24"/>
                <w:szCs w:val="24"/>
              </w:rPr>
              <w:t>2023 – 157 package handbacks</w:t>
            </w:r>
            <w:r w:rsidR="00EE19FC">
              <w:rPr>
                <w:rStyle w:val="eop"/>
                <w:rFonts w:ascii="Arial" w:hAnsi="Arial" w:cs="Arial"/>
                <w:color w:val="000000"/>
                <w:sz w:val="24"/>
                <w:szCs w:val="24"/>
              </w:rPr>
              <w:t xml:space="preserve"> (average per month – 13.</w:t>
            </w:r>
            <w:r w:rsidR="005E2B1D">
              <w:rPr>
                <w:rStyle w:val="eop"/>
                <w:rFonts w:ascii="Arial" w:hAnsi="Arial" w:cs="Arial"/>
                <w:color w:val="000000"/>
                <w:sz w:val="24"/>
                <w:szCs w:val="24"/>
              </w:rPr>
              <w:t>0)</w:t>
            </w:r>
          </w:p>
          <w:p w14:paraId="5CC20570" w14:textId="7DB34481" w:rsidR="00176842" w:rsidRPr="00A07740" w:rsidRDefault="00176842" w:rsidP="005E2B1D">
            <w:pPr>
              <w:pStyle w:val="paragraph"/>
              <w:spacing w:before="0" w:beforeAutospacing="0" w:after="0" w:afterAutospacing="0"/>
              <w:textAlignment w:val="baseline"/>
              <w:rPr>
                <w:rFonts w:ascii="Arial" w:hAnsi="Arial" w:cs="Arial"/>
                <w:sz w:val="24"/>
                <w:szCs w:val="24"/>
              </w:rPr>
            </w:pPr>
          </w:p>
          <w:p w14:paraId="1A5770E8" w14:textId="7EB1C5A4" w:rsidR="00176842" w:rsidRPr="00A07740" w:rsidRDefault="00176842" w:rsidP="00176842">
            <w:pPr>
              <w:tabs>
                <w:tab w:val="num" w:pos="714"/>
              </w:tabs>
              <w:rPr>
                <w:rStyle w:val="normaltextrun"/>
                <w:rFonts w:cs="Arial"/>
                <w:color w:val="000000"/>
              </w:rPr>
            </w:pPr>
            <w:r w:rsidRPr="00A07740">
              <w:rPr>
                <w:rStyle w:val="normaltextrun"/>
                <w:rFonts w:cs="Arial"/>
                <w:color w:val="000000"/>
              </w:rPr>
              <w:t>Care package contract handbacks place additional pressure on Local Authority staff to find replacement care within a stretched care market and is an indicator we monitor closely as part of</w:t>
            </w:r>
            <w:r w:rsidR="005E2B1D">
              <w:rPr>
                <w:rStyle w:val="normaltextrun"/>
                <w:rFonts w:cs="Arial"/>
                <w:color w:val="000000"/>
              </w:rPr>
              <w:t xml:space="preserve"> </w:t>
            </w:r>
            <w:r w:rsidR="005E2B1D">
              <w:rPr>
                <w:rStyle w:val="normaltextrun"/>
              </w:rPr>
              <w:t>our</w:t>
            </w:r>
            <w:r w:rsidRPr="00A07740">
              <w:rPr>
                <w:rStyle w:val="normaltextrun"/>
                <w:rFonts w:cs="Arial"/>
                <w:color w:val="000000"/>
              </w:rPr>
              <w:t xml:space="preserve"> commissioning and quality activity</w:t>
            </w:r>
            <w:r w:rsidR="005E2B1D">
              <w:rPr>
                <w:rStyle w:val="normaltextrun"/>
                <w:rFonts w:cs="Arial"/>
                <w:color w:val="000000"/>
              </w:rPr>
              <w:t>.</w:t>
            </w:r>
          </w:p>
          <w:p w14:paraId="3EEE2E6F" w14:textId="2793383E" w:rsidR="00176842" w:rsidRPr="00A07740" w:rsidRDefault="00176842" w:rsidP="004D69E8">
            <w:pPr>
              <w:tabs>
                <w:tab w:val="num" w:pos="714"/>
              </w:tabs>
              <w:rPr>
                <w:rFonts w:cs="Arial"/>
                <w:b/>
                <w:bCs/>
                <w:color w:val="000000"/>
                <w:lang w:eastAsia="en-GB"/>
              </w:rPr>
            </w:pPr>
          </w:p>
        </w:tc>
      </w:tr>
      <w:tr w:rsidR="00A07740" w14:paraId="6BE43E7F" w14:textId="77777777" w:rsidTr="003A7469">
        <w:tc>
          <w:tcPr>
            <w:tcW w:w="421" w:type="dxa"/>
          </w:tcPr>
          <w:p w14:paraId="0714D1BD" w14:textId="514F2D82" w:rsidR="00A07740" w:rsidRDefault="00A07740">
            <w:pPr>
              <w:rPr>
                <w:rFonts w:cs="Arial"/>
                <w:b/>
                <w:bCs/>
              </w:rPr>
            </w:pPr>
            <w:r>
              <w:rPr>
                <w:rFonts w:cs="Arial"/>
                <w:b/>
                <w:bCs/>
              </w:rPr>
              <w:t>3.17</w:t>
            </w:r>
          </w:p>
        </w:tc>
        <w:tc>
          <w:tcPr>
            <w:tcW w:w="8904" w:type="dxa"/>
          </w:tcPr>
          <w:p w14:paraId="44A77D8A" w14:textId="478B9DF4" w:rsidR="00234E35" w:rsidRPr="00234E35" w:rsidRDefault="00A07740" w:rsidP="006D5541">
            <w:pPr>
              <w:pStyle w:val="paragraph"/>
              <w:spacing w:before="0" w:beforeAutospacing="0" w:after="0" w:afterAutospacing="0"/>
              <w:textAlignment w:val="baseline"/>
              <w:rPr>
                <w:rStyle w:val="normaltextrun"/>
                <w:rFonts w:ascii="Arial" w:hAnsi="Arial" w:cs="Arial"/>
                <w:color w:val="000000"/>
                <w:sz w:val="24"/>
                <w:szCs w:val="24"/>
              </w:rPr>
            </w:pPr>
            <w:r w:rsidRPr="00A07740">
              <w:rPr>
                <w:rFonts w:ascii="Arial" w:hAnsi="Arial" w:cs="Arial"/>
                <w:b/>
                <w:bCs/>
                <w:color w:val="000000"/>
                <w:sz w:val="24"/>
                <w:szCs w:val="24"/>
              </w:rPr>
              <w:t>Governance</w:t>
            </w:r>
            <w:r w:rsidR="00234E35" w:rsidRPr="00234E35">
              <w:rPr>
                <w:rFonts w:ascii="Arial" w:hAnsi="Arial" w:cs="Arial"/>
                <w:b/>
                <w:bCs/>
                <w:color w:val="000000"/>
                <w:sz w:val="24"/>
                <w:szCs w:val="24"/>
              </w:rPr>
              <w:t xml:space="preserve">: </w:t>
            </w:r>
            <w:r w:rsidR="00234E35" w:rsidRPr="00234E35">
              <w:rPr>
                <w:rStyle w:val="normaltextrun"/>
                <w:rFonts w:ascii="Arial" w:hAnsi="Arial" w:cs="Arial"/>
                <w:sz w:val="24"/>
                <w:szCs w:val="24"/>
              </w:rPr>
              <w:t xml:space="preserve">Adult Social Care is currently developing a </w:t>
            </w:r>
            <w:r w:rsidR="00234E35" w:rsidRPr="00234E35">
              <w:rPr>
                <w:rStyle w:val="normaltextrun"/>
                <w:rFonts w:ascii="Arial" w:hAnsi="Arial" w:cs="Arial"/>
                <w:color w:val="000000"/>
                <w:sz w:val="24"/>
                <w:szCs w:val="24"/>
              </w:rPr>
              <w:t>Commissioning framework that will bring together all of our commissioning strategies under three themes:</w:t>
            </w:r>
          </w:p>
          <w:p w14:paraId="41067FB5" w14:textId="77777777" w:rsidR="00234E35" w:rsidRPr="001971C5" w:rsidRDefault="00234E35" w:rsidP="006D5541">
            <w:pPr>
              <w:pStyle w:val="ListParagraph"/>
              <w:numPr>
                <w:ilvl w:val="0"/>
                <w:numId w:val="31"/>
              </w:numPr>
              <w:shd w:val="clear" w:color="auto" w:fill="FFFFFF"/>
              <w:contextualSpacing/>
              <w:rPr>
                <w:rFonts w:ascii="Arial" w:eastAsia="Times New Roman" w:hAnsi="Arial" w:cs="Arial"/>
                <w:color w:val="222222"/>
                <w:sz w:val="24"/>
                <w:szCs w:val="24"/>
                <w:lang w:eastAsia="en-GB"/>
              </w:rPr>
            </w:pPr>
            <w:r w:rsidRPr="001971C5">
              <w:rPr>
                <w:rFonts w:ascii="Arial" w:eastAsia="Times New Roman" w:hAnsi="Arial" w:cs="Arial"/>
                <w:color w:val="222222"/>
                <w:sz w:val="24"/>
                <w:szCs w:val="24"/>
                <w:lang w:eastAsia="en-GB"/>
              </w:rPr>
              <w:t>Early Intervention and Prevention</w:t>
            </w:r>
          </w:p>
          <w:p w14:paraId="315E26DC" w14:textId="77777777" w:rsidR="00234E35" w:rsidRPr="001971C5" w:rsidRDefault="00234E35" w:rsidP="006D5541">
            <w:pPr>
              <w:pStyle w:val="ListParagraph"/>
              <w:numPr>
                <w:ilvl w:val="0"/>
                <w:numId w:val="31"/>
              </w:numPr>
              <w:shd w:val="clear" w:color="auto" w:fill="FFFFFF"/>
              <w:contextualSpacing/>
              <w:rPr>
                <w:rFonts w:ascii="Arial" w:eastAsia="Times New Roman" w:hAnsi="Arial" w:cs="Arial"/>
                <w:color w:val="222222"/>
                <w:sz w:val="24"/>
                <w:szCs w:val="24"/>
                <w:lang w:eastAsia="en-GB"/>
              </w:rPr>
            </w:pPr>
            <w:r w:rsidRPr="001971C5">
              <w:rPr>
                <w:rFonts w:ascii="Arial" w:eastAsia="Times New Roman" w:hAnsi="Arial" w:cs="Arial"/>
                <w:color w:val="222222"/>
                <w:sz w:val="24"/>
                <w:szCs w:val="24"/>
                <w:lang w:eastAsia="en-GB"/>
              </w:rPr>
              <w:t>Long Term care and Support</w:t>
            </w:r>
          </w:p>
          <w:p w14:paraId="0405932D" w14:textId="77777777" w:rsidR="00234E35" w:rsidRPr="001971C5" w:rsidRDefault="00234E35" w:rsidP="001971C5">
            <w:pPr>
              <w:pStyle w:val="ListParagraph"/>
              <w:numPr>
                <w:ilvl w:val="0"/>
                <w:numId w:val="31"/>
              </w:numPr>
              <w:shd w:val="clear" w:color="auto" w:fill="FFFFFF"/>
              <w:spacing w:before="100" w:beforeAutospacing="1" w:after="100" w:afterAutospacing="1"/>
              <w:contextualSpacing/>
              <w:rPr>
                <w:rFonts w:ascii="Arial" w:eastAsia="Times New Roman" w:hAnsi="Arial" w:cs="Arial"/>
                <w:color w:val="222222"/>
                <w:sz w:val="24"/>
                <w:szCs w:val="24"/>
                <w:lang w:eastAsia="en-GB"/>
              </w:rPr>
            </w:pPr>
            <w:r w:rsidRPr="001971C5">
              <w:rPr>
                <w:rFonts w:ascii="Arial" w:eastAsia="Times New Roman" w:hAnsi="Arial" w:cs="Arial"/>
                <w:color w:val="222222"/>
                <w:sz w:val="24"/>
                <w:szCs w:val="24"/>
                <w:lang w:eastAsia="en-GB"/>
              </w:rPr>
              <w:t>Specialist care and Support</w:t>
            </w:r>
          </w:p>
          <w:p w14:paraId="48797659" w14:textId="27E09774" w:rsidR="00234E35" w:rsidRPr="00234E35" w:rsidRDefault="00234E35" w:rsidP="00234E35">
            <w:pPr>
              <w:tabs>
                <w:tab w:val="num" w:pos="714"/>
              </w:tabs>
              <w:rPr>
                <w:rFonts w:cs="Arial"/>
                <w:color w:val="000000"/>
                <w:lang w:eastAsia="en-GB"/>
              </w:rPr>
            </w:pPr>
            <w:r>
              <w:rPr>
                <w:rFonts w:cs="Arial"/>
                <w:color w:val="000000"/>
                <w:lang w:eastAsia="en-GB"/>
              </w:rPr>
              <w:t>Each theme will outline our specific</w:t>
            </w:r>
            <w:r w:rsidRPr="00234E35">
              <w:rPr>
                <w:rFonts w:cs="Arial"/>
                <w:color w:val="000000"/>
                <w:lang w:eastAsia="en-GB"/>
              </w:rPr>
              <w:t xml:space="preserve"> commissioning strategies, equality impact assessments and actions </w:t>
            </w:r>
            <w:r w:rsidR="001971C5" w:rsidRPr="00234E35">
              <w:rPr>
                <w:rFonts w:cs="Arial"/>
                <w:color w:val="000000"/>
                <w:lang w:eastAsia="en-GB"/>
              </w:rPr>
              <w:t>plan</w:t>
            </w:r>
            <w:r>
              <w:rPr>
                <w:rFonts w:cs="Arial"/>
                <w:color w:val="000000"/>
                <w:lang w:eastAsia="en-GB"/>
              </w:rPr>
              <w:t xml:space="preserve">.  </w:t>
            </w:r>
            <w:r w:rsidR="001971C5">
              <w:rPr>
                <w:rFonts w:cs="Arial"/>
                <w:color w:val="000000"/>
                <w:lang w:eastAsia="en-GB"/>
              </w:rPr>
              <w:t>The</w:t>
            </w:r>
            <w:r w:rsidRPr="00234E35">
              <w:rPr>
                <w:rFonts w:cs="Arial"/>
                <w:color w:val="000000"/>
                <w:lang w:eastAsia="en-GB"/>
              </w:rPr>
              <w:t xml:space="preserve"> framework and strategies will be reviewed through Adult Care Commissioning and Oversight Grou</w:t>
            </w:r>
            <w:r w:rsidR="001971C5">
              <w:rPr>
                <w:rFonts w:cs="Arial"/>
                <w:color w:val="000000"/>
                <w:lang w:eastAsia="en-GB"/>
              </w:rPr>
              <w:t xml:space="preserve">p. </w:t>
            </w:r>
            <w:r w:rsidRPr="00234E35">
              <w:rPr>
                <w:rFonts w:cs="Arial"/>
                <w:color w:val="000000"/>
                <w:lang w:eastAsia="en-GB"/>
              </w:rPr>
              <w:t>The redraft of the Market Position Statement will reflect the commissioning themes.</w:t>
            </w:r>
          </w:p>
          <w:p w14:paraId="44BEEF04" w14:textId="47C8E85F" w:rsidR="00234E35" w:rsidRPr="00A07740" w:rsidRDefault="00234E35" w:rsidP="00176842">
            <w:pPr>
              <w:pStyle w:val="paragraph"/>
              <w:spacing w:before="0" w:beforeAutospacing="0" w:after="0" w:afterAutospacing="0"/>
              <w:textAlignment w:val="baseline"/>
              <w:rPr>
                <w:rFonts w:ascii="Arial" w:hAnsi="Arial" w:cs="Arial"/>
                <w:b/>
                <w:bCs/>
                <w:color w:val="000000"/>
                <w:sz w:val="24"/>
                <w:szCs w:val="24"/>
              </w:rPr>
            </w:pPr>
          </w:p>
        </w:tc>
      </w:tr>
      <w:tr w:rsidR="001971C5" w14:paraId="18E4D04D" w14:textId="77777777" w:rsidTr="003A7469">
        <w:tc>
          <w:tcPr>
            <w:tcW w:w="421" w:type="dxa"/>
          </w:tcPr>
          <w:p w14:paraId="44EA5A85" w14:textId="56A73F70" w:rsidR="001971C5" w:rsidRDefault="001971C5">
            <w:pPr>
              <w:rPr>
                <w:rFonts w:cs="Arial"/>
                <w:b/>
                <w:bCs/>
              </w:rPr>
            </w:pPr>
            <w:r>
              <w:rPr>
                <w:rFonts w:cs="Arial"/>
                <w:b/>
                <w:bCs/>
              </w:rPr>
              <w:t>3.18</w:t>
            </w:r>
          </w:p>
        </w:tc>
        <w:tc>
          <w:tcPr>
            <w:tcW w:w="8904" w:type="dxa"/>
          </w:tcPr>
          <w:p w14:paraId="4B7744BA" w14:textId="77777777" w:rsidR="001971C5" w:rsidRPr="00C37D97" w:rsidRDefault="001971C5" w:rsidP="00234E35">
            <w:pPr>
              <w:pStyle w:val="paragraph"/>
              <w:spacing w:before="0" w:beforeAutospacing="0" w:after="0" w:afterAutospacing="0"/>
              <w:textAlignment w:val="baseline"/>
              <w:rPr>
                <w:rFonts w:ascii="Arial" w:hAnsi="Arial" w:cs="Arial"/>
                <w:sz w:val="24"/>
                <w:szCs w:val="24"/>
              </w:rPr>
            </w:pPr>
            <w:r w:rsidRPr="00C37D97">
              <w:rPr>
                <w:rFonts w:ascii="Arial" w:hAnsi="Arial" w:cs="Arial"/>
                <w:b/>
                <w:bCs/>
                <w:color w:val="000000"/>
                <w:sz w:val="24"/>
                <w:szCs w:val="24"/>
              </w:rPr>
              <w:t xml:space="preserve">Care market quality assurance: </w:t>
            </w:r>
            <w:r w:rsidRPr="00C37D97">
              <w:rPr>
                <w:rFonts w:ascii="Arial" w:hAnsi="Arial" w:cs="Arial"/>
                <w:sz w:val="24"/>
                <w:szCs w:val="24"/>
              </w:rPr>
              <w:t>The Care Quality Commission (CQC) has the overarching role to monitor, inspect and regulate health and social care services to make sure those who use these services receive high-quality, safe, effective, and compassionate care.  We work closely with the CQC as part of our routine system surveillance activity. </w:t>
            </w:r>
          </w:p>
          <w:p w14:paraId="6D9F71FC" w14:textId="7FB53DD2" w:rsidR="00C37D97" w:rsidRPr="00C37D97" w:rsidRDefault="00C37D97" w:rsidP="00234E35">
            <w:pPr>
              <w:pStyle w:val="paragraph"/>
              <w:spacing w:before="0" w:beforeAutospacing="0" w:after="0" w:afterAutospacing="0"/>
              <w:textAlignment w:val="baseline"/>
              <w:rPr>
                <w:rFonts w:ascii="Arial" w:hAnsi="Arial" w:cs="Arial"/>
                <w:b/>
                <w:bCs/>
                <w:color w:val="000000"/>
                <w:sz w:val="24"/>
                <w:szCs w:val="24"/>
              </w:rPr>
            </w:pPr>
          </w:p>
        </w:tc>
      </w:tr>
      <w:tr w:rsidR="00C37D97" w14:paraId="1B388332" w14:textId="77777777" w:rsidTr="003A7469">
        <w:tc>
          <w:tcPr>
            <w:tcW w:w="421" w:type="dxa"/>
          </w:tcPr>
          <w:p w14:paraId="38B660DD" w14:textId="3E9E2188" w:rsidR="00C37D97" w:rsidRDefault="00C37D97">
            <w:pPr>
              <w:rPr>
                <w:rFonts w:cs="Arial"/>
                <w:b/>
                <w:bCs/>
              </w:rPr>
            </w:pPr>
            <w:r>
              <w:rPr>
                <w:rFonts w:cs="Arial"/>
                <w:b/>
                <w:bCs/>
              </w:rPr>
              <w:t>3.19</w:t>
            </w:r>
          </w:p>
        </w:tc>
        <w:tc>
          <w:tcPr>
            <w:tcW w:w="8904" w:type="dxa"/>
          </w:tcPr>
          <w:p w14:paraId="513D9F27" w14:textId="44093502" w:rsidR="00E82555" w:rsidRDefault="00C37D97" w:rsidP="00C37D97">
            <w:pPr>
              <w:textAlignment w:val="baseline"/>
              <w:rPr>
                <w:rStyle w:val="Hyperlink"/>
                <w:rFonts w:cs="Arial"/>
                <w:color w:val="000000"/>
                <w:shd w:val="clear" w:color="auto" w:fill="FFFFFF"/>
              </w:rPr>
            </w:pPr>
            <w:r w:rsidRPr="00C37D97">
              <w:rPr>
                <w:rFonts w:cs="Arial"/>
                <w:lang w:eastAsia="en-GB"/>
              </w:rPr>
              <w:t>Through our monitoring and assurance function, we support and work alongside our local care providers in obtaining the best possible standards of care, as well as holding them accountable for doing so, working closely with any provider that falls below a ‘Good’ overall rating as part of a quality improvement process</w:t>
            </w:r>
            <w:r w:rsidR="00E82555">
              <w:rPr>
                <w:rStyle w:val="FootnoteReference"/>
                <w:rFonts w:cs="Arial"/>
                <w:lang w:eastAsia="en-GB"/>
              </w:rPr>
              <w:footnoteReference w:id="4"/>
            </w:r>
          </w:p>
          <w:p w14:paraId="1E483393" w14:textId="77777777" w:rsidR="00E82555" w:rsidRDefault="00E82555" w:rsidP="00C37D97">
            <w:pPr>
              <w:textAlignment w:val="baseline"/>
              <w:rPr>
                <w:rStyle w:val="Hyperlink"/>
                <w:color w:val="000000"/>
                <w:shd w:val="clear" w:color="auto" w:fill="FFFFFF"/>
              </w:rPr>
            </w:pPr>
          </w:p>
          <w:p w14:paraId="4102E189" w14:textId="440F6951" w:rsidR="00A45276" w:rsidRDefault="00C37D97" w:rsidP="00C37D97">
            <w:pPr>
              <w:textAlignment w:val="baseline"/>
              <w:rPr>
                <w:rStyle w:val="normaltextrun"/>
                <w:rFonts w:cs="Arial"/>
                <w:color w:val="000000"/>
                <w:shd w:val="clear" w:color="auto" w:fill="FFFFFF"/>
              </w:rPr>
            </w:pPr>
            <w:r w:rsidRPr="00C37D97">
              <w:rPr>
                <w:rStyle w:val="normaltextrun"/>
                <w:rFonts w:cs="Arial"/>
                <w:color w:val="000000"/>
                <w:shd w:val="clear" w:color="auto" w:fill="FFFFFF"/>
              </w:rPr>
              <w:t>81.7% of Somerset’s active social care settings (</w:t>
            </w:r>
            <w:r w:rsidRPr="00C37D97">
              <w:rPr>
                <w:rStyle w:val="normaltextrun"/>
                <w:rFonts w:cs="Arial"/>
                <w:i/>
                <w:iCs/>
                <w:color w:val="000000"/>
                <w:shd w:val="clear" w:color="auto" w:fill="FFFFFF"/>
              </w:rPr>
              <w:t>residential and community provision combined</w:t>
            </w:r>
            <w:r w:rsidRPr="00C37D97">
              <w:rPr>
                <w:rStyle w:val="normaltextrun"/>
                <w:rFonts w:cs="Arial"/>
                <w:color w:val="000000"/>
                <w:shd w:val="clear" w:color="auto" w:fill="FFFFFF"/>
              </w:rPr>
              <w:t xml:space="preserve">) inspected by the CQC were rated as ‘Good’ or ‘Outstanding’ as of December 2023, down from 87.6% in December 2022.  </w:t>
            </w:r>
          </w:p>
          <w:p w14:paraId="776B7CEC" w14:textId="77777777" w:rsidR="00A45276" w:rsidRPr="006D5541" w:rsidRDefault="00A45276" w:rsidP="00C37D97">
            <w:pPr>
              <w:textAlignment w:val="baseline"/>
              <w:rPr>
                <w:rStyle w:val="normaltextrun"/>
                <w:color w:val="000000"/>
                <w:sz w:val="8"/>
                <w:szCs w:val="8"/>
                <w:shd w:val="clear" w:color="auto" w:fill="FFFFFF"/>
              </w:rPr>
            </w:pPr>
          </w:p>
          <w:p w14:paraId="4CBD1FB5" w14:textId="631FC2D3" w:rsidR="00A45276" w:rsidRDefault="00A45276" w:rsidP="00C37D97">
            <w:pPr>
              <w:textAlignment w:val="baseline"/>
              <w:rPr>
                <w:rStyle w:val="normaltextrun"/>
                <w:color w:val="000000"/>
                <w:shd w:val="clear" w:color="auto" w:fill="FFFFFF"/>
              </w:rPr>
            </w:pPr>
            <w:r w:rsidRPr="00CB7D5B">
              <w:rPr>
                <w:rFonts w:cs="Arial"/>
                <w:noProof/>
              </w:rPr>
              <w:lastRenderedPageBreak/>
              <w:drawing>
                <wp:inline distT="0" distB="0" distL="0" distR="0" wp14:anchorId="54820B5E" wp14:editId="7D34D3F8">
                  <wp:extent cx="5308226" cy="2671159"/>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0823" cy="2677498"/>
                          </a:xfrm>
                          <a:prstGeom prst="rect">
                            <a:avLst/>
                          </a:prstGeom>
                          <a:noFill/>
                          <a:ln>
                            <a:noFill/>
                          </a:ln>
                        </pic:spPr>
                      </pic:pic>
                    </a:graphicData>
                  </a:graphic>
                </wp:inline>
              </w:drawing>
            </w:r>
          </w:p>
          <w:p w14:paraId="6B0A8D5A" w14:textId="77777777" w:rsidR="00A45276" w:rsidRDefault="00A45276" w:rsidP="00C37D97">
            <w:pPr>
              <w:textAlignment w:val="baseline"/>
              <w:rPr>
                <w:rStyle w:val="normaltextrun"/>
                <w:color w:val="000000"/>
                <w:shd w:val="clear" w:color="auto" w:fill="FFFFFF"/>
              </w:rPr>
            </w:pPr>
          </w:p>
          <w:p w14:paraId="640B991A" w14:textId="63589FC7" w:rsidR="00C37D97" w:rsidRPr="00C37D97" w:rsidRDefault="00C37D97" w:rsidP="00C37D97">
            <w:pPr>
              <w:textAlignment w:val="baseline"/>
              <w:rPr>
                <w:rStyle w:val="normaltextrun"/>
                <w:rFonts w:cs="Arial"/>
                <w:color w:val="000000"/>
                <w:shd w:val="clear" w:color="auto" w:fill="FFFFFF"/>
              </w:rPr>
            </w:pPr>
            <w:r w:rsidRPr="00C37D97">
              <w:rPr>
                <w:rStyle w:val="normaltextrun"/>
                <w:rFonts w:cs="Arial"/>
                <w:color w:val="000000"/>
                <w:shd w:val="clear" w:color="auto" w:fill="FFFFFF"/>
              </w:rPr>
              <w:t xml:space="preserve">This is </w:t>
            </w:r>
            <w:r w:rsidR="00B47C2A">
              <w:rPr>
                <w:rStyle w:val="normaltextrun"/>
                <w:rFonts w:cs="Arial"/>
                <w:color w:val="000000"/>
                <w:shd w:val="clear" w:color="auto" w:fill="FFFFFF"/>
              </w:rPr>
              <w:t>in part a</w:t>
            </w:r>
            <w:r w:rsidRPr="00C37D97">
              <w:rPr>
                <w:rStyle w:val="normaltextrun"/>
                <w:rFonts w:cs="Arial"/>
                <w:color w:val="000000"/>
                <w:shd w:val="clear" w:color="auto" w:fill="FFFFFF"/>
              </w:rPr>
              <w:t xml:space="preserve"> consequence of the CQC currently only prioritising high risk provisions pending introduction of their new inspection framework from 6 December 2023 – the impact of this was discussed at the November 2023 Care Provider Commissioning &amp; Quality Board and it was agreed Somerset Council would share recommendations with the CQC relating to provisions that we believe have improved in quality and would benefit from an inspection to ensure a fairer balanced approach to regulation. </w:t>
            </w:r>
          </w:p>
          <w:p w14:paraId="47AEE29D" w14:textId="77777777" w:rsidR="00C37D97" w:rsidRPr="00C37D97" w:rsidRDefault="00C37D97" w:rsidP="00234E35">
            <w:pPr>
              <w:pStyle w:val="paragraph"/>
              <w:spacing w:before="0" w:beforeAutospacing="0" w:after="0" w:afterAutospacing="0"/>
              <w:textAlignment w:val="baseline"/>
              <w:rPr>
                <w:rFonts w:ascii="Arial" w:hAnsi="Arial" w:cs="Arial"/>
                <w:b/>
                <w:bCs/>
                <w:color w:val="000000"/>
                <w:sz w:val="24"/>
                <w:szCs w:val="24"/>
              </w:rPr>
            </w:pPr>
          </w:p>
        </w:tc>
      </w:tr>
      <w:tr w:rsidR="00B47C2A" w14:paraId="578D08B3" w14:textId="77777777" w:rsidTr="003A7469">
        <w:tc>
          <w:tcPr>
            <w:tcW w:w="421" w:type="dxa"/>
          </w:tcPr>
          <w:p w14:paraId="109B0C2F" w14:textId="6AA3B227" w:rsidR="00B47C2A" w:rsidRDefault="00B47C2A">
            <w:pPr>
              <w:rPr>
                <w:rFonts w:cs="Arial"/>
                <w:b/>
                <w:bCs/>
              </w:rPr>
            </w:pPr>
            <w:r>
              <w:rPr>
                <w:rFonts w:cs="Arial"/>
                <w:b/>
                <w:bCs/>
              </w:rPr>
              <w:lastRenderedPageBreak/>
              <w:t>3.20</w:t>
            </w:r>
          </w:p>
        </w:tc>
        <w:tc>
          <w:tcPr>
            <w:tcW w:w="8904" w:type="dxa"/>
          </w:tcPr>
          <w:p w14:paraId="0A72C94E" w14:textId="77777777" w:rsidR="00401E4F" w:rsidRPr="00CB7D5B" w:rsidRDefault="00401E4F" w:rsidP="00401E4F">
            <w:pPr>
              <w:textAlignment w:val="baseline"/>
              <w:rPr>
                <w:rFonts w:eastAsia="Calibri" w:cs="Arial"/>
                <w:sz w:val="22"/>
                <w:szCs w:val="22"/>
              </w:rPr>
            </w:pPr>
            <w:r w:rsidRPr="00CB7D5B">
              <w:rPr>
                <w:rStyle w:val="normaltextrun"/>
                <w:rFonts w:cs="Arial"/>
              </w:rPr>
              <w:t>At the end of December 2023 placements were being restricted in 20 provider settings in Somerset by the Local Authority due to quality and/or safety concerns, or at request of provider:</w:t>
            </w:r>
            <w:r w:rsidRPr="00CB7D5B">
              <w:rPr>
                <w:rStyle w:val="eop"/>
                <w:rFonts w:cs="Arial"/>
              </w:rPr>
              <w:t> </w:t>
            </w:r>
          </w:p>
          <w:p w14:paraId="70A17B78" w14:textId="77777777" w:rsidR="00401E4F" w:rsidRPr="00CB7D5B" w:rsidRDefault="00401E4F" w:rsidP="00401E4F">
            <w:pPr>
              <w:pStyle w:val="paragraph"/>
              <w:numPr>
                <w:ilvl w:val="0"/>
                <w:numId w:val="14"/>
              </w:numPr>
              <w:spacing w:before="0" w:beforeAutospacing="0" w:after="0" w:afterAutospacing="0"/>
              <w:textAlignment w:val="baseline"/>
              <w:rPr>
                <w:rFonts w:ascii="Arial" w:eastAsia="Times New Roman" w:hAnsi="Arial" w:cs="Arial"/>
                <w:sz w:val="24"/>
                <w:szCs w:val="24"/>
              </w:rPr>
            </w:pPr>
            <w:r w:rsidRPr="00CB7D5B">
              <w:rPr>
                <w:rStyle w:val="normaltextrun"/>
                <w:rFonts w:ascii="Arial" w:eastAsia="Times New Roman" w:hAnsi="Arial" w:cs="Arial"/>
                <w:sz w:val="24"/>
                <w:szCs w:val="24"/>
              </w:rPr>
              <w:t>5 settings are rated red – i.e. we are not currently placing;</w:t>
            </w:r>
            <w:r w:rsidRPr="00CB7D5B">
              <w:rPr>
                <w:rStyle w:val="eop"/>
                <w:rFonts w:ascii="Arial" w:eastAsia="Times New Roman" w:hAnsi="Arial" w:cs="Arial"/>
                <w:sz w:val="24"/>
                <w:szCs w:val="24"/>
              </w:rPr>
              <w:t> </w:t>
            </w:r>
          </w:p>
          <w:p w14:paraId="7E0A9088" w14:textId="77777777" w:rsidR="00401E4F" w:rsidRPr="00CB7D5B" w:rsidRDefault="00401E4F" w:rsidP="00401E4F">
            <w:pPr>
              <w:pStyle w:val="paragraph"/>
              <w:numPr>
                <w:ilvl w:val="0"/>
                <w:numId w:val="14"/>
              </w:numPr>
              <w:spacing w:before="0" w:beforeAutospacing="0" w:after="0" w:afterAutospacing="0"/>
              <w:textAlignment w:val="baseline"/>
              <w:rPr>
                <w:rFonts w:ascii="Arial" w:eastAsia="Times New Roman" w:hAnsi="Arial" w:cs="Arial"/>
                <w:sz w:val="24"/>
                <w:szCs w:val="24"/>
              </w:rPr>
            </w:pPr>
            <w:r w:rsidRPr="00CB7D5B">
              <w:rPr>
                <w:rStyle w:val="normaltextrun"/>
                <w:rFonts w:ascii="Arial" w:eastAsia="Times New Roman" w:hAnsi="Arial" w:cs="Arial"/>
                <w:sz w:val="24"/>
                <w:szCs w:val="24"/>
              </w:rPr>
              <w:t>15 settings are rated amber – i.e. we are placing but with restrictions.</w:t>
            </w:r>
            <w:r w:rsidRPr="00CB7D5B">
              <w:rPr>
                <w:rStyle w:val="eop"/>
                <w:rFonts w:ascii="Arial" w:eastAsia="Times New Roman" w:hAnsi="Arial" w:cs="Arial"/>
                <w:sz w:val="24"/>
                <w:szCs w:val="24"/>
              </w:rPr>
              <w:t> </w:t>
            </w:r>
          </w:p>
          <w:p w14:paraId="6C967B76" w14:textId="77777777" w:rsidR="00401E4F" w:rsidRDefault="00401E4F" w:rsidP="00401E4F">
            <w:pPr>
              <w:pStyle w:val="paragraph"/>
              <w:spacing w:before="0" w:beforeAutospacing="0" w:after="0" w:afterAutospacing="0"/>
              <w:ind w:left="720"/>
              <w:textAlignment w:val="baseline"/>
              <w:rPr>
                <w:rStyle w:val="normaltextrun"/>
                <w:rFonts w:ascii="Arial" w:hAnsi="Arial" w:cs="Arial"/>
                <w:sz w:val="24"/>
                <w:szCs w:val="24"/>
              </w:rPr>
            </w:pPr>
          </w:p>
          <w:p w14:paraId="7657A338" w14:textId="013DE760" w:rsidR="00401E4F" w:rsidRPr="00CB7D5B" w:rsidRDefault="00401E4F" w:rsidP="00401E4F">
            <w:pPr>
              <w:pStyle w:val="paragraph"/>
              <w:spacing w:before="0" w:beforeAutospacing="0" w:after="0" w:afterAutospacing="0"/>
              <w:textAlignment w:val="baseline"/>
              <w:rPr>
                <w:rFonts w:ascii="Arial" w:hAnsi="Arial" w:cs="Arial"/>
                <w:sz w:val="24"/>
                <w:szCs w:val="24"/>
              </w:rPr>
            </w:pPr>
            <w:r>
              <w:rPr>
                <w:rStyle w:val="normaltextrun"/>
                <w:rFonts w:ascii="Arial" w:hAnsi="Arial"/>
                <w:sz w:val="24"/>
                <w:szCs w:val="24"/>
              </w:rPr>
              <w:t>Ca</w:t>
            </w:r>
            <w:r w:rsidRPr="00CB7D5B">
              <w:rPr>
                <w:rStyle w:val="normaltextrun"/>
                <w:rFonts w:ascii="Arial" w:hAnsi="Arial" w:cs="Arial"/>
                <w:sz w:val="24"/>
                <w:szCs w:val="24"/>
              </w:rPr>
              <w:t>re market quality and sustainability continues to be closely monitored at a strategic level via the joint NHS/LA Commissioning and Quality Board (which met most recently in November 2023</w:t>
            </w:r>
            <w:r w:rsidR="00F3359F">
              <w:rPr>
                <w:rStyle w:val="normaltextrun"/>
                <w:rFonts w:ascii="Arial" w:hAnsi="Arial" w:cs="Arial"/>
                <w:sz w:val="24"/>
                <w:szCs w:val="24"/>
              </w:rPr>
              <w:t xml:space="preserve"> and meets again later this month)</w:t>
            </w:r>
            <w:r w:rsidRPr="00CB7D5B">
              <w:rPr>
                <w:rStyle w:val="normaltextrun"/>
                <w:rFonts w:ascii="Arial" w:hAnsi="Arial" w:cs="Arial"/>
                <w:sz w:val="24"/>
                <w:szCs w:val="24"/>
              </w:rPr>
              <w:t xml:space="preserve"> and the Somerset </w:t>
            </w:r>
            <w:r w:rsidR="00E45B61">
              <w:rPr>
                <w:rStyle w:val="normaltextrun"/>
                <w:rFonts w:ascii="Arial" w:hAnsi="Arial" w:cs="Arial"/>
                <w:sz w:val="24"/>
                <w:szCs w:val="24"/>
              </w:rPr>
              <w:t>System Quality Group</w:t>
            </w:r>
            <w:r w:rsidRPr="00CB7D5B">
              <w:rPr>
                <w:rStyle w:val="normaltextrun"/>
                <w:rFonts w:ascii="Arial" w:hAnsi="Arial" w:cs="Arial"/>
                <w:sz w:val="24"/>
                <w:szCs w:val="24"/>
              </w:rPr>
              <w:t xml:space="preserve"> (</w:t>
            </w:r>
            <w:r w:rsidR="00F3359F">
              <w:rPr>
                <w:rStyle w:val="normaltextrun"/>
                <w:rFonts w:ascii="Arial" w:hAnsi="Arial" w:cs="Arial"/>
                <w:sz w:val="24"/>
                <w:szCs w:val="24"/>
              </w:rPr>
              <w:t>which met most recently in January 2024)</w:t>
            </w:r>
          </w:p>
          <w:p w14:paraId="272F2AE3" w14:textId="77777777" w:rsidR="00B47C2A" w:rsidRPr="00C37D97" w:rsidRDefault="00B47C2A" w:rsidP="00C37D97">
            <w:pPr>
              <w:textAlignment w:val="baseline"/>
              <w:rPr>
                <w:rFonts w:cs="Arial"/>
                <w:lang w:eastAsia="en-GB"/>
              </w:rPr>
            </w:pPr>
          </w:p>
        </w:tc>
      </w:tr>
      <w:tr w:rsidR="007F187A" w14:paraId="24EFBA18" w14:textId="77777777" w:rsidTr="003A7469">
        <w:tc>
          <w:tcPr>
            <w:tcW w:w="421" w:type="dxa"/>
          </w:tcPr>
          <w:p w14:paraId="47E2BC62" w14:textId="68C17D67" w:rsidR="007F187A" w:rsidRDefault="007F187A" w:rsidP="00A91F28">
            <w:pPr>
              <w:rPr>
                <w:rFonts w:cs="Arial"/>
                <w:b/>
                <w:bCs/>
              </w:rPr>
            </w:pPr>
            <w:r>
              <w:rPr>
                <w:rFonts w:cs="Arial"/>
                <w:b/>
                <w:bCs/>
              </w:rPr>
              <w:t>3.21</w:t>
            </w:r>
          </w:p>
        </w:tc>
        <w:tc>
          <w:tcPr>
            <w:tcW w:w="8904" w:type="dxa"/>
          </w:tcPr>
          <w:p w14:paraId="4259140B" w14:textId="77777777" w:rsidR="00A91F28" w:rsidRDefault="007F187A" w:rsidP="00A91F28">
            <w:pPr>
              <w:rPr>
                <w:rFonts w:cs="Arial"/>
                <w:lang w:eastAsia="en-GB"/>
              </w:rPr>
            </w:pPr>
            <w:r w:rsidRPr="00CB7D5B">
              <w:rPr>
                <w:rFonts w:cs="Arial"/>
                <w:lang w:eastAsia="en-GB"/>
              </w:rPr>
              <w:t>Robust arrangements exist that help us monitor and support the quality and sustainability of local services, including our investment in PAMMS (Provider Assessment and Market Management Solutions) and our multi-agency Commissioning and Quality Board.  Where necessary, we manage placements into provisions pending quality or safety improvements being progressed. We work closely with key stakeholders, including health colleagues and the Care Quality Commission, to share intelligence and support quality improvement and knowledge across the sector. We benefit from the insights of Healthwatch Somerset who share their ‘enter and view’ visit reports into local care settings with us as part of wider monitoring of people’s experience of local health and care services. 93% of feedback received during 2023 regarding the work of our Care Provider Quality and Contracts functions rated the overall service provided as ‘Good’ or ‘Excellent’, with 97% of this feedback stemming directly from local registered care providers.  Our quality and contracts staff benefit from and receive regular training opportunities to support their knowledge and expertise in this area, with recent examples including Home Office ‘Right to Work’ training to support knowledge around immigration, and Contract Management training provided by the Government Commercial Function.</w:t>
            </w:r>
          </w:p>
          <w:p w14:paraId="6061D9DC" w14:textId="549DD971" w:rsidR="00A91F28" w:rsidRPr="00CB7D5B" w:rsidRDefault="00A91F28" w:rsidP="00A91F28">
            <w:pPr>
              <w:rPr>
                <w:rStyle w:val="normaltextrun"/>
                <w:rFonts w:cs="Arial"/>
                <w:lang w:eastAsia="en-GB"/>
              </w:rPr>
            </w:pPr>
          </w:p>
        </w:tc>
      </w:tr>
      <w:tr w:rsidR="00A45276" w14:paraId="7AC1DB19" w14:textId="77777777" w:rsidTr="003A7469">
        <w:tc>
          <w:tcPr>
            <w:tcW w:w="421" w:type="dxa"/>
          </w:tcPr>
          <w:p w14:paraId="2D2BB5D9" w14:textId="4D7725A6" w:rsidR="00A45276" w:rsidRDefault="00A91F28" w:rsidP="00550C0F">
            <w:pPr>
              <w:rPr>
                <w:rFonts w:cs="Arial"/>
                <w:b/>
                <w:bCs/>
              </w:rPr>
            </w:pPr>
            <w:r>
              <w:rPr>
                <w:rFonts w:cs="Arial"/>
                <w:b/>
                <w:bCs/>
              </w:rPr>
              <w:lastRenderedPageBreak/>
              <w:t>3.22</w:t>
            </w:r>
          </w:p>
        </w:tc>
        <w:tc>
          <w:tcPr>
            <w:tcW w:w="8904" w:type="dxa"/>
          </w:tcPr>
          <w:p w14:paraId="24E5B686" w14:textId="331148ED" w:rsidR="00B3745A" w:rsidRDefault="00A91F28" w:rsidP="00550C0F">
            <w:pPr>
              <w:rPr>
                <w:rFonts w:cs="Arial"/>
                <w:lang w:eastAsia="en-GB"/>
              </w:rPr>
            </w:pPr>
            <w:r>
              <w:rPr>
                <w:rFonts w:cs="Arial"/>
                <w:b/>
                <w:bCs/>
                <w:lang w:eastAsia="en-GB"/>
              </w:rPr>
              <w:t xml:space="preserve">Responding to business/provider failure: </w:t>
            </w:r>
            <w:r w:rsidRPr="00CB7D5B">
              <w:rPr>
                <w:rFonts w:cs="Arial"/>
                <w:lang w:eastAsia="en-GB"/>
              </w:rPr>
              <w:t>We also ensure effective multi-agency working aligned to our robust and well-tested business failure/closure policy</w:t>
            </w:r>
            <w:r w:rsidR="0087549F">
              <w:rPr>
                <w:rStyle w:val="FootnoteReference"/>
                <w:rFonts w:cs="Arial"/>
                <w:lang w:eastAsia="en-GB"/>
              </w:rPr>
              <w:footnoteReference w:id="5"/>
            </w:r>
            <w:r w:rsidRPr="00CB7D5B">
              <w:rPr>
                <w:rFonts w:cs="Arial"/>
                <w:lang w:eastAsia="en-GB"/>
              </w:rPr>
              <w:t xml:space="preserve"> - there are currently no home closures underway across the county but we supported several during 2023 where the provider has taken their own decision to rationalise their services.</w:t>
            </w:r>
          </w:p>
          <w:p w14:paraId="00EC0D2B" w14:textId="3CB419F6" w:rsidR="00B3745A" w:rsidRPr="00B3745A" w:rsidRDefault="00B3745A" w:rsidP="00550C0F">
            <w:pPr>
              <w:rPr>
                <w:rFonts w:cs="Arial"/>
                <w:lang w:eastAsia="en-GB"/>
              </w:rPr>
            </w:pPr>
          </w:p>
        </w:tc>
      </w:tr>
      <w:tr w:rsidR="00550C0F" w14:paraId="56F06236" w14:textId="77777777" w:rsidTr="003A7469">
        <w:tc>
          <w:tcPr>
            <w:tcW w:w="421" w:type="dxa"/>
          </w:tcPr>
          <w:p w14:paraId="2B468A59" w14:textId="223E0098" w:rsidR="00550C0F" w:rsidRPr="00550C0F" w:rsidRDefault="00550C0F" w:rsidP="00550C0F">
            <w:pPr>
              <w:rPr>
                <w:rFonts w:cs="Arial"/>
                <w:b/>
                <w:bCs/>
              </w:rPr>
            </w:pPr>
            <w:r>
              <w:rPr>
                <w:rFonts w:cs="Arial"/>
                <w:b/>
                <w:bCs/>
              </w:rPr>
              <w:t>4.</w:t>
            </w:r>
          </w:p>
        </w:tc>
        <w:tc>
          <w:tcPr>
            <w:tcW w:w="8904" w:type="dxa"/>
          </w:tcPr>
          <w:p w14:paraId="648DEE0A" w14:textId="77777777" w:rsidR="00550C0F" w:rsidRDefault="00550C0F" w:rsidP="00550C0F">
            <w:pPr>
              <w:rPr>
                <w:rFonts w:cs="Arial"/>
                <w:b/>
                <w:bCs/>
                <w:lang w:eastAsia="en-GB"/>
              </w:rPr>
            </w:pPr>
            <w:r>
              <w:rPr>
                <w:rFonts w:cs="Arial"/>
                <w:b/>
                <w:bCs/>
                <w:lang w:eastAsia="en-GB"/>
              </w:rPr>
              <w:t>Implications and next steps</w:t>
            </w:r>
          </w:p>
          <w:p w14:paraId="4C363732" w14:textId="6A2CCD1D" w:rsidR="00550C0F" w:rsidRPr="00550C0F" w:rsidRDefault="00550C0F" w:rsidP="00550C0F">
            <w:pPr>
              <w:rPr>
                <w:rFonts w:cs="Arial"/>
                <w:b/>
                <w:bCs/>
                <w:lang w:eastAsia="en-GB"/>
              </w:rPr>
            </w:pPr>
          </w:p>
        </w:tc>
      </w:tr>
      <w:tr w:rsidR="00550C0F" w14:paraId="6BC07169" w14:textId="77777777" w:rsidTr="003A7469">
        <w:tc>
          <w:tcPr>
            <w:tcW w:w="421" w:type="dxa"/>
          </w:tcPr>
          <w:p w14:paraId="2ADCD115" w14:textId="0DBE25D4" w:rsidR="00550C0F" w:rsidRDefault="0005624D" w:rsidP="00550C0F">
            <w:pPr>
              <w:rPr>
                <w:rFonts w:cs="Arial"/>
                <w:b/>
                <w:bCs/>
              </w:rPr>
            </w:pPr>
            <w:r>
              <w:rPr>
                <w:rFonts w:cs="Arial"/>
                <w:b/>
                <w:bCs/>
              </w:rPr>
              <w:t>4.1</w:t>
            </w:r>
          </w:p>
        </w:tc>
        <w:tc>
          <w:tcPr>
            <w:tcW w:w="8904" w:type="dxa"/>
          </w:tcPr>
          <w:p w14:paraId="4E881A77" w14:textId="299E8AD8" w:rsidR="007F5F1F" w:rsidRDefault="007F5F1F" w:rsidP="007F5F1F">
            <w:pPr>
              <w:pStyle w:val="ListParagraph"/>
              <w:numPr>
                <w:ilvl w:val="0"/>
                <w:numId w:val="14"/>
              </w:numPr>
              <w:tabs>
                <w:tab w:val="num" w:pos="714"/>
              </w:tabs>
              <w:rPr>
                <w:rFonts w:ascii="Arial" w:hAnsi="Arial" w:cs="Arial"/>
                <w:sz w:val="24"/>
                <w:szCs w:val="24"/>
              </w:rPr>
            </w:pPr>
            <w:r w:rsidRPr="007F5F1F">
              <w:rPr>
                <w:rFonts w:ascii="Arial" w:hAnsi="Arial" w:cs="Arial"/>
                <w:sz w:val="24"/>
                <w:szCs w:val="24"/>
              </w:rPr>
              <w:t>The Council needs to refresh the Market Position Statement, ensuring it reflects any local demand for care. This refreshed document will be developed in partnership with care providers. The Market Position Statement and the Market Sustainability plan will need to reflect the Council financial situation and forecast budgets for the next few years.</w:t>
            </w:r>
          </w:p>
          <w:p w14:paraId="0B859CEB" w14:textId="77777777" w:rsidR="004B204C" w:rsidRDefault="004B204C" w:rsidP="004B204C">
            <w:pPr>
              <w:pStyle w:val="ListParagraph"/>
              <w:tabs>
                <w:tab w:val="num" w:pos="714"/>
              </w:tabs>
              <w:ind w:left="360"/>
              <w:rPr>
                <w:rFonts w:ascii="Arial" w:hAnsi="Arial" w:cs="Arial"/>
                <w:sz w:val="24"/>
                <w:szCs w:val="24"/>
              </w:rPr>
            </w:pPr>
          </w:p>
          <w:p w14:paraId="3E652E0F" w14:textId="551486F8" w:rsidR="007F5F1F" w:rsidRPr="004B204C" w:rsidRDefault="00F51ED4" w:rsidP="004B204C">
            <w:pPr>
              <w:pStyle w:val="ListParagraph"/>
              <w:numPr>
                <w:ilvl w:val="0"/>
                <w:numId w:val="14"/>
              </w:numPr>
              <w:tabs>
                <w:tab w:val="num" w:pos="714"/>
              </w:tabs>
              <w:rPr>
                <w:rFonts w:ascii="Arial" w:hAnsi="Arial" w:cs="Arial"/>
                <w:sz w:val="24"/>
                <w:szCs w:val="24"/>
              </w:rPr>
            </w:pPr>
            <w:r w:rsidRPr="004B204C">
              <w:rPr>
                <w:rStyle w:val="ui-provider"/>
                <w:rFonts w:ascii="Arial" w:hAnsi="Arial" w:cs="Arial"/>
                <w:sz w:val="24"/>
                <w:szCs w:val="24"/>
              </w:rPr>
              <w:t>Further work is in progress around the specialist care market (including services supporting adults with a learning disability, autism, or mental ill-health) to ensure projected need can be met. This will include the implementation of a new D</w:t>
            </w:r>
            <w:r w:rsidR="00D408F2">
              <w:rPr>
                <w:rStyle w:val="ui-provider"/>
                <w:rFonts w:ascii="Arial" w:hAnsi="Arial" w:cs="Arial"/>
                <w:sz w:val="24"/>
                <w:szCs w:val="24"/>
              </w:rPr>
              <w:t>ynamic Purchasing System (DPS)</w:t>
            </w:r>
            <w:r w:rsidRPr="004B204C">
              <w:rPr>
                <w:rStyle w:val="ui-provider"/>
                <w:rFonts w:ascii="Arial" w:hAnsi="Arial" w:cs="Arial"/>
                <w:sz w:val="24"/>
                <w:szCs w:val="24"/>
              </w:rPr>
              <w:t xml:space="preserve"> from 01/04/2024, detailed sustainability plans being developed, and work with housing as it is often the availability of ho</w:t>
            </w:r>
            <w:r w:rsidR="002634AA">
              <w:rPr>
                <w:rStyle w:val="ui-provider"/>
                <w:rFonts w:ascii="Arial" w:hAnsi="Arial" w:cs="Arial"/>
                <w:sz w:val="24"/>
                <w:szCs w:val="24"/>
              </w:rPr>
              <w:t>u</w:t>
            </w:r>
            <w:r w:rsidRPr="004B204C">
              <w:rPr>
                <w:rStyle w:val="ui-provider"/>
                <w:rFonts w:ascii="Arial" w:hAnsi="Arial" w:cs="Arial"/>
                <w:sz w:val="24"/>
                <w:szCs w:val="24"/>
              </w:rPr>
              <w:t>sing, rather than care, that is problematic.</w:t>
            </w:r>
            <w:r w:rsidRPr="004B204C">
              <w:rPr>
                <w:rFonts w:ascii="Arial" w:hAnsi="Arial" w:cs="Arial"/>
                <w:sz w:val="24"/>
                <w:szCs w:val="24"/>
              </w:rPr>
              <w:t xml:space="preserve"> </w:t>
            </w:r>
            <w:r w:rsidRPr="004B204C">
              <w:rPr>
                <w:rStyle w:val="ui-provider"/>
                <w:rFonts w:ascii="Arial" w:hAnsi="Arial" w:cs="Arial"/>
                <w:sz w:val="24"/>
                <w:szCs w:val="24"/>
              </w:rPr>
              <w:t>As part of the introduction of the new DPS for specialist care we will be implementing the use of Care Cubed, a nationally recognised benchmarking tool, to benchmark the costs of all residential care and supported living packages as part of the process for agreeing each package commissioned using the DPS.</w:t>
            </w:r>
          </w:p>
          <w:p w14:paraId="4640B909" w14:textId="77777777" w:rsidR="007F5F1F" w:rsidRPr="00F51ED4" w:rsidRDefault="007F5F1F" w:rsidP="007F5F1F">
            <w:pPr>
              <w:pStyle w:val="ListParagraph"/>
              <w:rPr>
                <w:rFonts w:ascii="Arial" w:hAnsi="Arial" w:cs="Arial"/>
                <w:sz w:val="24"/>
                <w:szCs w:val="24"/>
              </w:rPr>
            </w:pPr>
          </w:p>
          <w:p w14:paraId="41A3C60D" w14:textId="055C150A" w:rsidR="007F5F1F" w:rsidRPr="00482768" w:rsidRDefault="007F5F1F" w:rsidP="007F5F1F">
            <w:pPr>
              <w:pStyle w:val="ListParagraph"/>
              <w:numPr>
                <w:ilvl w:val="0"/>
                <w:numId w:val="14"/>
              </w:numPr>
              <w:tabs>
                <w:tab w:val="num" w:pos="714"/>
              </w:tabs>
              <w:rPr>
                <w:rFonts w:ascii="Arial" w:hAnsi="Arial" w:cs="Arial"/>
                <w:sz w:val="24"/>
                <w:szCs w:val="24"/>
              </w:rPr>
            </w:pPr>
            <w:r w:rsidRPr="00482768">
              <w:rPr>
                <w:rFonts w:ascii="Arial" w:hAnsi="Arial" w:cs="Arial"/>
                <w:sz w:val="24"/>
                <w:szCs w:val="24"/>
              </w:rPr>
              <w:t xml:space="preserve">The Council will continue to work </w:t>
            </w:r>
            <w:r w:rsidR="00F23AA5" w:rsidRPr="00482768">
              <w:rPr>
                <w:rFonts w:ascii="Arial" w:hAnsi="Arial" w:cs="Arial"/>
                <w:sz w:val="24"/>
                <w:szCs w:val="24"/>
              </w:rPr>
              <w:t>in partnership with the</w:t>
            </w:r>
            <w:r w:rsidRPr="00482768">
              <w:rPr>
                <w:rFonts w:ascii="Arial" w:hAnsi="Arial" w:cs="Arial"/>
                <w:sz w:val="24"/>
                <w:szCs w:val="24"/>
              </w:rPr>
              <w:t xml:space="preserve"> Care Quality Commission</w:t>
            </w:r>
            <w:r w:rsidR="00F23AA5" w:rsidRPr="00482768">
              <w:rPr>
                <w:rFonts w:ascii="Arial" w:hAnsi="Arial" w:cs="Arial"/>
                <w:sz w:val="24"/>
                <w:szCs w:val="24"/>
              </w:rPr>
              <w:t xml:space="preserve">, safeguarding, health and other partners </w:t>
            </w:r>
            <w:r w:rsidRPr="00482768">
              <w:rPr>
                <w:rFonts w:ascii="Arial" w:hAnsi="Arial" w:cs="Arial"/>
                <w:sz w:val="24"/>
                <w:szCs w:val="24"/>
              </w:rPr>
              <w:t>to monitor</w:t>
            </w:r>
            <w:r w:rsidR="0009255A" w:rsidRPr="00482768">
              <w:rPr>
                <w:rFonts w:ascii="Arial" w:hAnsi="Arial" w:cs="Arial"/>
                <w:sz w:val="24"/>
                <w:szCs w:val="24"/>
              </w:rPr>
              <w:t xml:space="preserve"> and improve</w:t>
            </w:r>
            <w:r w:rsidRPr="00482768">
              <w:rPr>
                <w:rFonts w:ascii="Arial" w:hAnsi="Arial" w:cs="Arial"/>
                <w:sz w:val="24"/>
                <w:szCs w:val="24"/>
              </w:rPr>
              <w:t xml:space="preserve"> the quality of care offered in Somerset.</w:t>
            </w:r>
            <w:r w:rsidR="00E95B36" w:rsidRPr="00482768">
              <w:rPr>
                <w:rFonts w:ascii="Arial" w:hAnsi="Arial" w:cs="Arial"/>
                <w:sz w:val="24"/>
                <w:szCs w:val="24"/>
              </w:rPr>
              <w:t xml:space="preserve">  Work is currently underway to </w:t>
            </w:r>
            <w:r w:rsidR="00482768" w:rsidRPr="00482768">
              <w:rPr>
                <w:rFonts w:ascii="Arial" w:hAnsi="Arial" w:cs="Arial"/>
                <w:sz w:val="24"/>
                <w:szCs w:val="24"/>
              </w:rPr>
              <w:t xml:space="preserve">determine </w:t>
            </w:r>
            <w:r w:rsidR="005B5DCF">
              <w:rPr>
                <w:rFonts w:ascii="Arial" w:hAnsi="Arial" w:cs="Arial"/>
                <w:sz w:val="24"/>
                <w:szCs w:val="24"/>
              </w:rPr>
              <w:t xml:space="preserve">the scope </w:t>
            </w:r>
            <w:r w:rsidR="00482768" w:rsidRPr="00482768">
              <w:rPr>
                <w:rFonts w:ascii="Arial" w:hAnsi="Arial" w:cs="Arial"/>
                <w:sz w:val="24"/>
                <w:szCs w:val="24"/>
              </w:rPr>
              <w:t>and mitigate the growing risk</w:t>
            </w:r>
            <w:r w:rsidR="005B5DCF">
              <w:rPr>
                <w:rFonts w:ascii="Arial" w:hAnsi="Arial" w:cs="Arial"/>
                <w:sz w:val="24"/>
                <w:szCs w:val="24"/>
              </w:rPr>
              <w:t xml:space="preserve"> being seen</w:t>
            </w:r>
            <w:r w:rsidR="00482768" w:rsidRPr="00482768">
              <w:rPr>
                <w:rFonts w:ascii="Arial" w:hAnsi="Arial" w:cs="Arial"/>
                <w:sz w:val="24"/>
                <w:szCs w:val="24"/>
              </w:rPr>
              <w:t xml:space="preserve"> nationally relating to </w:t>
            </w:r>
            <w:r w:rsidR="008074F3">
              <w:rPr>
                <w:rFonts w:ascii="Arial" w:hAnsi="Arial" w:cs="Arial"/>
                <w:sz w:val="24"/>
                <w:szCs w:val="24"/>
              </w:rPr>
              <w:t xml:space="preserve">the Home Office suspending or revoking </w:t>
            </w:r>
            <w:r w:rsidR="00897096">
              <w:rPr>
                <w:rFonts w:ascii="Arial" w:hAnsi="Arial" w:cs="Arial"/>
                <w:sz w:val="24"/>
                <w:szCs w:val="24"/>
              </w:rPr>
              <w:t>UK Visa Sponsorship Licences</w:t>
            </w:r>
            <w:r w:rsidR="005B5DCF">
              <w:rPr>
                <w:rFonts w:ascii="Arial" w:hAnsi="Arial" w:cs="Arial"/>
                <w:sz w:val="24"/>
                <w:szCs w:val="24"/>
              </w:rPr>
              <w:t xml:space="preserve"> held by independent care providers</w:t>
            </w:r>
            <w:r w:rsidR="00EA21F9">
              <w:rPr>
                <w:rFonts w:ascii="Arial" w:hAnsi="Arial" w:cs="Arial"/>
                <w:sz w:val="24"/>
                <w:szCs w:val="24"/>
              </w:rPr>
              <w:t>, given the impact this will have on capacity in the market and delivery of safe care.</w:t>
            </w:r>
          </w:p>
          <w:p w14:paraId="28B6B293" w14:textId="77777777" w:rsidR="00437DBB" w:rsidRPr="00437DBB" w:rsidRDefault="00437DBB" w:rsidP="00437DBB">
            <w:pPr>
              <w:pStyle w:val="ListParagraph"/>
              <w:rPr>
                <w:rFonts w:ascii="Arial" w:hAnsi="Arial" w:cs="Arial"/>
                <w:sz w:val="24"/>
                <w:szCs w:val="24"/>
              </w:rPr>
            </w:pPr>
          </w:p>
          <w:p w14:paraId="29226CDA" w14:textId="54EC78BC" w:rsidR="00437DBB" w:rsidRPr="007F5F1F" w:rsidRDefault="00437DBB" w:rsidP="007F5F1F">
            <w:pPr>
              <w:pStyle w:val="ListParagraph"/>
              <w:numPr>
                <w:ilvl w:val="0"/>
                <w:numId w:val="14"/>
              </w:numPr>
              <w:tabs>
                <w:tab w:val="num" w:pos="714"/>
              </w:tabs>
              <w:rPr>
                <w:rFonts w:ascii="Arial" w:hAnsi="Arial" w:cs="Arial"/>
                <w:sz w:val="24"/>
                <w:szCs w:val="24"/>
              </w:rPr>
            </w:pPr>
            <w:r>
              <w:rPr>
                <w:rFonts w:ascii="Arial" w:hAnsi="Arial" w:cs="Arial"/>
                <w:sz w:val="24"/>
                <w:szCs w:val="24"/>
              </w:rPr>
              <w:t>In March 2024, Somerset Council will welcome a Local Government Association Assurance Peer Challenge of its Adult Social Care service</w:t>
            </w:r>
            <w:r w:rsidR="007C22F3">
              <w:rPr>
                <w:rFonts w:ascii="Arial" w:hAnsi="Arial" w:cs="Arial"/>
                <w:sz w:val="24"/>
                <w:szCs w:val="24"/>
              </w:rPr>
              <w:t xml:space="preserve">.  The Peer Challenge will support our readiness for new CQC assessment of Local Authorities </w:t>
            </w:r>
            <w:r w:rsidR="00111ECD">
              <w:rPr>
                <w:rFonts w:ascii="Arial" w:hAnsi="Arial" w:cs="Arial"/>
                <w:sz w:val="24"/>
                <w:szCs w:val="24"/>
              </w:rPr>
              <w:t>in relation to their discharge of their statutory duties under Part 1 of the Care Act 2014</w:t>
            </w:r>
            <w:r w:rsidR="008443CD">
              <w:rPr>
                <w:rFonts w:ascii="Arial" w:hAnsi="Arial" w:cs="Arial"/>
                <w:sz w:val="24"/>
                <w:szCs w:val="24"/>
              </w:rPr>
              <w:t xml:space="preserve">, and support an independent view of current strengths and areas for further development </w:t>
            </w:r>
            <w:r w:rsidR="00FA2EF7">
              <w:rPr>
                <w:rFonts w:ascii="Arial" w:hAnsi="Arial" w:cs="Arial"/>
                <w:sz w:val="24"/>
                <w:szCs w:val="24"/>
              </w:rPr>
              <w:t>across our functions, including our commissioning and market shaping activity.</w:t>
            </w:r>
          </w:p>
          <w:p w14:paraId="744DE7BF" w14:textId="1DE02459" w:rsidR="00550C0F" w:rsidRPr="007F5F1F" w:rsidRDefault="00550C0F" w:rsidP="007F5F1F">
            <w:pPr>
              <w:rPr>
                <w:rFonts w:cs="Arial"/>
                <w:b/>
                <w:bCs/>
                <w:lang w:eastAsia="en-GB"/>
              </w:rPr>
            </w:pPr>
          </w:p>
        </w:tc>
      </w:tr>
      <w:tr w:rsidR="0005624D" w:rsidRPr="0005624D" w14:paraId="28EF85AA" w14:textId="77777777" w:rsidTr="003A7469">
        <w:tc>
          <w:tcPr>
            <w:tcW w:w="421" w:type="dxa"/>
          </w:tcPr>
          <w:p w14:paraId="75817177" w14:textId="07E7970A" w:rsidR="0005624D" w:rsidRPr="0005624D" w:rsidRDefault="0005624D" w:rsidP="00550C0F">
            <w:pPr>
              <w:rPr>
                <w:rFonts w:cs="Arial"/>
                <w:b/>
                <w:bCs/>
              </w:rPr>
            </w:pPr>
            <w:r w:rsidRPr="0005624D">
              <w:rPr>
                <w:rFonts w:cs="Arial"/>
                <w:b/>
                <w:bCs/>
              </w:rPr>
              <w:t>5</w:t>
            </w:r>
          </w:p>
        </w:tc>
        <w:tc>
          <w:tcPr>
            <w:tcW w:w="8904" w:type="dxa"/>
          </w:tcPr>
          <w:p w14:paraId="2BAD5BC4" w14:textId="77777777" w:rsidR="0005624D" w:rsidRPr="0005624D" w:rsidRDefault="0005624D" w:rsidP="0005624D">
            <w:pPr>
              <w:tabs>
                <w:tab w:val="num" w:pos="714"/>
              </w:tabs>
              <w:rPr>
                <w:rFonts w:cs="Arial"/>
                <w:b/>
                <w:bCs/>
              </w:rPr>
            </w:pPr>
            <w:r w:rsidRPr="0005624D">
              <w:rPr>
                <w:rFonts w:cs="Arial"/>
                <w:b/>
                <w:bCs/>
              </w:rPr>
              <w:t>Supporting papers</w:t>
            </w:r>
          </w:p>
          <w:p w14:paraId="01EAD4BA" w14:textId="17517976" w:rsidR="0005624D" w:rsidRPr="0005624D" w:rsidRDefault="0005624D" w:rsidP="0005624D">
            <w:pPr>
              <w:tabs>
                <w:tab w:val="num" w:pos="714"/>
              </w:tabs>
              <w:rPr>
                <w:rFonts w:cs="Arial"/>
                <w:b/>
                <w:bCs/>
              </w:rPr>
            </w:pPr>
            <w:r w:rsidRPr="0005624D">
              <w:rPr>
                <w:rFonts w:cs="Arial"/>
                <w:b/>
                <w:bCs/>
              </w:rPr>
              <w:t xml:space="preserve"> </w:t>
            </w:r>
          </w:p>
        </w:tc>
      </w:tr>
      <w:tr w:rsidR="0005624D" w14:paraId="1DFC5DC7" w14:textId="77777777" w:rsidTr="003A7469">
        <w:tc>
          <w:tcPr>
            <w:tcW w:w="421" w:type="dxa"/>
          </w:tcPr>
          <w:p w14:paraId="796D67A9" w14:textId="42DC450A" w:rsidR="0005624D" w:rsidRDefault="0005624D" w:rsidP="00550C0F">
            <w:pPr>
              <w:rPr>
                <w:rFonts w:cs="Arial"/>
                <w:b/>
                <w:bCs/>
              </w:rPr>
            </w:pPr>
            <w:r>
              <w:rPr>
                <w:rFonts w:cs="Arial"/>
                <w:b/>
                <w:bCs/>
              </w:rPr>
              <w:t>5.1</w:t>
            </w:r>
          </w:p>
        </w:tc>
        <w:tc>
          <w:tcPr>
            <w:tcW w:w="8904" w:type="dxa"/>
          </w:tcPr>
          <w:p w14:paraId="78DAF37D" w14:textId="77777777" w:rsidR="0005624D" w:rsidRDefault="0005624D" w:rsidP="0005624D">
            <w:pPr>
              <w:tabs>
                <w:tab w:val="num" w:pos="714"/>
              </w:tabs>
              <w:rPr>
                <w:rFonts w:cs="Arial"/>
              </w:rPr>
            </w:pPr>
            <w:r>
              <w:rPr>
                <w:rFonts w:cs="Arial"/>
              </w:rPr>
              <w:t>Appendix 1 – DRAFT Market Position Statement, 2023-26</w:t>
            </w:r>
          </w:p>
          <w:p w14:paraId="752EC304" w14:textId="09D8EF48" w:rsidR="009501F0" w:rsidRDefault="009501F0" w:rsidP="0005624D">
            <w:pPr>
              <w:tabs>
                <w:tab w:val="num" w:pos="714"/>
              </w:tabs>
              <w:rPr>
                <w:rFonts w:cs="Arial"/>
              </w:rPr>
            </w:pPr>
          </w:p>
        </w:tc>
      </w:tr>
    </w:tbl>
    <w:p w14:paraId="353AF637" w14:textId="77777777" w:rsidR="00195373" w:rsidRPr="00CB7D5B" w:rsidRDefault="00195373">
      <w:pPr>
        <w:tabs>
          <w:tab w:val="num" w:pos="714"/>
        </w:tabs>
        <w:rPr>
          <w:rFonts w:cs="Arial"/>
        </w:rPr>
      </w:pPr>
    </w:p>
    <w:sectPr w:rsidR="00195373" w:rsidRPr="00CB7D5B">
      <w:headerReference w:type="default" r:id="rId17"/>
      <w:footerReference w:type="even" r:id="rId18"/>
      <w:footerReference w:type="default" r:id="rId19"/>
      <w:headerReference w:type="first" r:id="rId20"/>
      <w:pgSz w:w="11909" w:h="16834" w:code="9"/>
      <w:pgMar w:top="851" w:right="1134" w:bottom="851" w:left="1440" w:header="39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9F92" w14:textId="77777777" w:rsidR="001A1265" w:rsidRDefault="001A1265">
      <w:r>
        <w:separator/>
      </w:r>
    </w:p>
  </w:endnote>
  <w:endnote w:type="continuationSeparator" w:id="0">
    <w:p w14:paraId="5AE62334" w14:textId="77777777" w:rsidR="001A1265" w:rsidRDefault="001A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D149" w14:textId="77777777" w:rsidR="008D43FB" w:rsidRDefault="008D4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AB364" w14:textId="77777777" w:rsidR="008D43FB" w:rsidRDefault="008D43FB">
    <w:pPr>
      <w:pStyle w:val="Footer"/>
    </w:pPr>
  </w:p>
  <w:p w14:paraId="18A0BCF3" w14:textId="77777777" w:rsidR="008D43FB" w:rsidRDefault="008D4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15A7" w14:textId="77777777" w:rsidR="008D43FB" w:rsidRDefault="008D43FB">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5D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3AD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99E6" w14:textId="77777777" w:rsidR="001A1265" w:rsidRDefault="001A1265">
      <w:r>
        <w:separator/>
      </w:r>
    </w:p>
  </w:footnote>
  <w:footnote w:type="continuationSeparator" w:id="0">
    <w:p w14:paraId="5DD1464C" w14:textId="77777777" w:rsidR="001A1265" w:rsidRDefault="001A1265">
      <w:r>
        <w:continuationSeparator/>
      </w:r>
    </w:p>
  </w:footnote>
  <w:footnote w:id="1">
    <w:p w14:paraId="744D1B24" w14:textId="61290F64" w:rsidR="00554BC7" w:rsidRDefault="00554BC7">
      <w:pPr>
        <w:pStyle w:val="FootnoteText"/>
      </w:pPr>
      <w:r>
        <w:rPr>
          <w:rStyle w:val="FootnoteReference"/>
        </w:rPr>
        <w:footnoteRef/>
      </w:r>
      <w:r>
        <w:t xml:space="preserve"> </w:t>
      </w:r>
      <w:hyperlink r:id="rId1" w:history="1">
        <w:r w:rsidR="00C354AE" w:rsidRPr="00956537">
          <w:rPr>
            <w:rStyle w:val="Hyperlink"/>
          </w:rPr>
          <w:t>https://somersetcc.sharepoint.com/:b:/s/SCCPublic/EbzJGB-oQYhAmz03onho8WgBzCceTKFWxY14zTPPpyWxOg?e=yDNUyx</w:t>
        </w:r>
      </w:hyperlink>
      <w:r w:rsidR="00C354AE">
        <w:t xml:space="preserve"> </w:t>
      </w:r>
    </w:p>
  </w:footnote>
  <w:footnote w:id="2">
    <w:p w14:paraId="00EE6E75" w14:textId="5440C514" w:rsidR="00E30454" w:rsidRDefault="00E30454">
      <w:pPr>
        <w:pStyle w:val="FootnoteText"/>
      </w:pPr>
      <w:r>
        <w:rPr>
          <w:rStyle w:val="FootnoteReference"/>
        </w:rPr>
        <w:footnoteRef/>
      </w:r>
      <w:r>
        <w:t xml:space="preserve"> </w:t>
      </w:r>
      <w:hyperlink r:id="rId2" w:history="1">
        <w:r>
          <w:rPr>
            <w:rStyle w:val="Hyperlink"/>
          </w:rPr>
          <w:t>SCC - Public - Market Sustainability Plan 24.3.2023.pdf - All Documents (sharepoint.com)</w:t>
        </w:r>
      </w:hyperlink>
    </w:p>
  </w:footnote>
  <w:footnote w:id="3">
    <w:p w14:paraId="6899A289" w14:textId="0FB533AA" w:rsidR="00081AEE" w:rsidRDefault="00081AEE">
      <w:pPr>
        <w:pStyle w:val="FootnoteText"/>
      </w:pPr>
      <w:r>
        <w:rPr>
          <w:rStyle w:val="FootnoteReference"/>
        </w:rPr>
        <w:footnoteRef/>
      </w:r>
      <w:r>
        <w:t xml:space="preserve"> </w:t>
      </w:r>
      <w:hyperlink r:id="rId3" w:history="1">
        <w:r>
          <w:rPr>
            <w:rStyle w:val="Hyperlink"/>
          </w:rPr>
          <w:t>Decision to award Contracts for Care and Support at Home in Somerset.pdf</w:t>
        </w:r>
      </w:hyperlink>
    </w:p>
  </w:footnote>
  <w:footnote w:id="4">
    <w:p w14:paraId="304365C5" w14:textId="2E7E0CC9" w:rsidR="00E82555" w:rsidRDefault="00E82555">
      <w:pPr>
        <w:pStyle w:val="FootnoteText"/>
      </w:pPr>
      <w:r>
        <w:rPr>
          <w:rStyle w:val="FootnoteReference"/>
        </w:rPr>
        <w:footnoteRef/>
      </w:r>
      <w:r>
        <w:t xml:space="preserve"> </w:t>
      </w:r>
      <w:hyperlink r:id="rId4" w:history="1">
        <w:r w:rsidR="0087549F">
          <w:rPr>
            <w:rStyle w:val="Hyperlink"/>
          </w:rPr>
          <w:t>Care Provider Quality Assurance Policy (somersetprovidernetwork.org.uk)</w:t>
        </w:r>
      </w:hyperlink>
    </w:p>
  </w:footnote>
  <w:footnote w:id="5">
    <w:p w14:paraId="39277381" w14:textId="227B2683" w:rsidR="0087549F" w:rsidRDefault="0087549F">
      <w:pPr>
        <w:pStyle w:val="FootnoteText"/>
      </w:pPr>
      <w:r>
        <w:rPr>
          <w:rStyle w:val="FootnoteReference"/>
        </w:rPr>
        <w:footnoteRef/>
      </w:r>
      <w:r>
        <w:t xml:space="preserve"> </w:t>
      </w:r>
      <w:hyperlink r:id="rId5" w:history="1">
        <w:r w:rsidR="00527EE6">
          <w:rPr>
            <w:rStyle w:val="Hyperlink"/>
          </w:rPr>
          <w:t>Regulated Care Provider: Business Failure Policy (somersetprovidernetwork.org.uk)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8EFA" w14:textId="36D8412A" w:rsidR="008D43FB" w:rsidRPr="000A3677" w:rsidRDefault="00F901A6">
    <w:pPr>
      <w:pStyle w:val="Header"/>
      <w:jc w:val="center"/>
      <w:rPr>
        <w:rFonts w:ascii="Atkinson Hyperlegible" w:hAnsi="Atkinson Hyperlegible" w:cs="Microsoft New Tai Lue"/>
        <w:sz w:val="24"/>
      </w:rPr>
    </w:pPr>
    <w:r>
      <w:rPr>
        <w:rFonts w:ascii="Atkinson Hyperlegible" w:hAnsi="Atkinson Hyperlegible" w:cs="Microsoft New Tai Lue"/>
        <w:sz w:val="24"/>
      </w:rPr>
      <w:t>Performance and Quality Sub Group</w:t>
    </w:r>
    <w:r w:rsidR="00CB7D5B">
      <w:rPr>
        <w:rFonts w:ascii="Atkinson Hyperlegible" w:hAnsi="Atkinson Hyperlegible" w:cs="Microsoft New Tai Lue"/>
        <w:sz w:val="24"/>
      </w:rPr>
      <w:t xml:space="preserve"> –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6B23" w14:textId="77777777" w:rsidR="008D43FB" w:rsidRDefault="008D43FB">
    <w:pPr>
      <w:pStyle w:val="Header"/>
      <w:jc w:val="center"/>
      <w:rPr>
        <w:sz w:val="20"/>
      </w:rPr>
    </w:pPr>
    <w:r>
      <w:rPr>
        <w:sz w:val="20"/>
      </w:rPr>
      <w:t>(</w:t>
    </w:r>
    <w:r>
      <w:rPr>
        <w:sz w:val="20"/>
      </w:rPr>
      <w:fldChar w:fldCharType="begin"/>
    </w:r>
    <w:r>
      <w:rPr>
        <w:sz w:val="20"/>
      </w:rPr>
      <w:instrText xml:space="preserve">MACROBUTTON NoMacro [Click </w:instrText>
    </w:r>
    <w:r>
      <w:rPr>
        <w:b/>
        <w:sz w:val="20"/>
      </w:rPr>
      <w:instrText>here</w:instrText>
    </w:r>
    <w:r>
      <w:rPr>
        <w:sz w:val="20"/>
      </w:rPr>
      <w:instrText xml:space="preserve"> and type Committee name]</w:instrText>
    </w:r>
    <w:r>
      <w:rPr>
        <w:sz w:val="20"/>
      </w:rPr>
      <w:fldChar w:fldCharType="end"/>
    </w:r>
    <w:r>
      <w:rPr>
        <w:sz w:val="20"/>
      </w:rPr>
      <w:t xml:space="preserve"> – </w:t>
    </w:r>
    <w:r>
      <w:rPr>
        <w:sz w:val="20"/>
      </w:rPr>
      <w:fldChar w:fldCharType="begin"/>
    </w:r>
    <w:r>
      <w:rPr>
        <w:sz w:val="20"/>
      </w:rPr>
      <w:instrText xml:space="preserve">MACROBUTTON NoMacro [Click </w:instrText>
    </w:r>
    <w:r>
      <w:rPr>
        <w:b/>
        <w:sz w:val="20"/>
      </w:rPr>
      <w:instrText>here</w:instrText>
    </w:r>
    <w:r>
      <w:rPr>
        <w:sz w:val="20"/>
      </w:rPr>
      <w:instrText xml:space="preserve"> and type date]</w:instrText>
    </w:r>
    <w:r>
      <w:rPr>
        <w:sz w:val="20"/>
      </w:rPr>
      <w:fldChar w:fldCharType="end"/>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E6"/>
    <w:multiLevelType w:val="hybridMultilevel"/>
    <w:tmpl w:val="3AAE7CFC"/>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F12BA0"/>
    <w:multiLevelType w:val="hybridMultilevel"/>
    <w:tmpl w:val="1D52281C"/>
    <w:lvl w:ilvl="0" w:tplc="08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2B7B64"/>
    <w:multiLevelType w:val="hybridMultilevel"/>
    <w:tmpl w:val="D3529B82"/>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A744E6"/>
    <w:multiLevelType w:val="hybridMultilevel"/>
    <w:tmpl w:val="A8789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70057"/>
    <w:multiLevelType w:val="hybridMultilevel"/>
    <w:tmpl w:val="DD824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B3187"/>
    <w:multiLevelType w:val="hybridMultilevel"/>
    <w:tmpl w:val="304C4B6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F45789"/>
    <w:multiLevelType w:val="hybridMultilevel"/>
    <w:tmpl w:val="FAF0579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9F29A1"/>
    <w:multiLevelType w:val="hybridMultilevel"/>
    <w:tmpl w:val="193EA0E0"/>
    <w:lvl w:ilvl="0" w:tplc="E50216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63B7B"/>
    <w:multiLevelType w:val="hybridMultilevel"/>
    <w:tmpl w:val="6A547678"/>
    <w:lvl w:ilvl="0" w:tplc="7A488E0A">
      <w:start w:val="1"/>
      <w:numFmt w:val="bullet"/>
      <w:lvlText w:val=""/>
      <w:lvlJc w:val="left"/>
      <w:pPr>
        <w:ind w:left="360" w:hanging="360"/>
      </w:pPr>
      <w:rPr>
        <w:rFonts w:ascii="Symbol" w:hAnsi="Symbol" w:hint="default"/>
        <w:b/>
        <w:bCs/>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A6DA6"/>
    <w:multiLevelType w:val="multilevel"/>
    <w:tmpl w:val="A53A1B8C"/>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A243FF3"/>
    <w:multiLevelType w:val="multilevel"/>
    <w:tmpl w:val="51E884DC"/>
    <w:lvl w:ilvl="0">
      <w:start w:val="1"/>
      <w:numFmt w:val="bullet"/>
      <w:lvlText w:val="-"/>
      <w:lvlJc w:val="left"/>
      <w:pPr>
        <w:tabs>
          <w:tab w:val="num" w:pos="360"/>
        </w:tabs>
        <w:ind w:left="360" w:hanging="360"/>
      </w:pPr>
      <w:rPr>
        <w:rFonts w:ascii="Microsoft New Tai Lue" w:eastAsia="Times New Roman" w:hAnsi="Microsoft New Tai Lue" w:cs="Microsoft New Tai Lue" w:hint="default"/>
        <w:b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A49A9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EC25DF"/>
    <w:multiLevelType w:val="hybridMultilevel"/>
    <w:tmpl w:val="380A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2322A"/>
    <w:multiLevelType w:val="hybridMultilevel"/>
    <w:tmpl w:val="AAEE0D82"/>
    <w:lvl w:ilvl="0" w:tplc="B900A9DE">
      <w:start w:val="1"/>
      <w:numFmt w:val="bullet"/>
      <w:lvlText w:val=""/>
      <w:lvlJc w:val="left"/>
      <w:pPr>
        <w:ind w:left="360" w:hanging="360"/>
      </w:pPr>
      <w:rPr>
        <w:rFonts w:ascii="Symbol" w:hAnsi="Symbol" w:hint="default"/>
        <w:b/>
        <w:bCs/>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71A2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4D7F5C"/>
    <w:multiLevelType w:val="multilevel"/>
    <w:tmpl w:val="4C7464C0"/>
    <w:lvl w:ilvl="0">
      <w:start w:val="1"/>
      <w:numFmt w:val="decimal"/>
      <w:lvlRestart w:val="0"/>
      <w:pStyle w:val="ReportHead1"/>
      <w:lvlText w:val="%1."/>
      <w:lvlJc w:val="left"/>
      <w:pPr>
        <w:tabs>
          <w:tab w:val="num" w:pos="360"/>
        </w:tabs>
        <w:ind w:left="357" w:hanging="357"/>
      </w:pPr>
      <w:rPr>
        <w:rFonts w:hint="default"/>
      </w:rPr>
    </w:lvl>
    <w:lvl w:ilvl="1">
      <w:start w:val="1"/>
      <w:numFmt w:val="decimal"/>
      <w:pStyle w:val="ReportHead2"/>
      <w:suff w:val="nothing"/>
      <w:lvlText w:val="%1.%2."/>
      <w:lvlJc w:val="left"/>
      <w:pPr>
        <w:ind w:left="782" w:hanging="357"/>
      </w:pPr>
      <w:rPr>
        <w:rFonts w:ascii="Microsoft New Tai Lue" w:hAnsi="Microsoft New Tai Lue" w:cs="Microsoft New Tai Lue" w:hint="default"/>
      </w:rPr>
    </w:lvl>
    <w:lvl w:ilvl="2">
      <w:start w:val="1"/>
      <w:numFmt w:val="decimal"/>
      <w:suff w:val="nothing"/>
      <w:lvlText w:val="%1.%2.%3."/>
      <w:lvlJc w:val="left"/>
      <w:pPr>
        <w:ind w:left="357" w:hanging="357"/>
      </w:pPr>
      <w:rPr>
        <w:rFonts w:ascii="Arial" w:hAnsi="Arial" w:hint="default"/>
        <w:b w:val="0"/>
        <w:i w:val="0"/>
        <w:sz w:val="24"/>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10A3EA4"/>
    <w:multiLevelType w:val="hybridMultilevel"/>
    <w:tmpl w:val="D6203D3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16588"/>
    <w:multiLevelType w:val="hybridMultilevel"/>
    <w:tmpl w:val="D6306DBA"/>
    <w:lvl w:ilvl="0" w:tplc="3A94AB4E">
      <w:start w:val="1"/>
      <w:numFmt w:val="bullet"/>
      <w:lvlText w:val="-"/>
      <w:lvlJc w:val="left"/>
      <w:pPr>
        <w:ind w:left="720" w:hanging="360"/>
      </w:pPr>
      <w:rPr>
        <w:rFonts w:ascii="Microsoft New Tai Lue" w:eastAsiaTheme="minorEastAsia" w:hAnsi="Microsoft New Tai Lue" w:cs="Microsoft New Tai Lue"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279F0"/>
    <w:multiLevelType w:val="hybridMultilevel"/>
    <w:tmpl w:val="750A7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F86277"/>
    <w:multiLevelType w:val="hybridMultilevel"/>
    <w:tmpl w:val="68A052BE"/>
    <w:lvl w:ilvl="0" w:tplc="E50216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1243F"/>
    <w:multiLevelType w:val="hybridMultilevel"/>
    <w:tmpl w:val="6EF64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1F13079"/>
    <w:multiLevelType w:val="hybridMultilevel"/>
    <w:tmpl w:val="6C0A33A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70D43827"/>
    <w:multiLevelType w:val="hybridMultilevel"/>
    <w:tmpl w:val="04E6542C"/>
    <w:lvl w:ilvl="0" w:tplc="D66452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8708DE"/>
    <w:multiLevelType w:val="multilevel"/>
    <w:tmpl w:val="964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C7B40"/>
    <w:multiLevelType w:val="hybridMultilevel"/>
    <w:tmpl w:val="120258D6"/>
    <w:lvl w:ilvl="0" w:tplc="5D864C4C">
      <w:start w:val="1"/>
      <w:numFmt w:val="bullet"/>
      <w:lvlText w:val="•"/>
      <w:lvlJc w:val="left"/>
      <w:pPr>
        <w:tabs>
          <w:tab w:val="num" w:pos="360"/>
        </w:tabs>
        <w:ind w:left="360" w:hanging="360"/>
      </w:pPr>
      <w:rPr>
        <w:rFonts w:ascii="Arial" w:hAnsi="Arial" w:hint="default"/>
      </w:rPr>
    </w:lvl>
    <w:lvl w:ilvl="1" w:tplc="7B8ADB7C" w:tentative="1">
      <w:start w:val="1"/>
      <w:numFmt w:val="bullet"/>
      <w:lvlText w:val="•"/>
      <w:lvlJc w:val="left"/>
      <w:pPr>
        <w:tabs>
          <w:tab w:val="num" w:pos="1080"/>
        </w:tabs>
        <w:ind w:left="1080" w:hanging="360"/>
      </w:pPr>
      <w:rPr>
        <w:rFonts w:ascii="Arial" w:hAnsi="Arial" w:hint="default"/>
      </w:rPr>
    </w:lvl>
    <w:lvl w:ilvl="2" w:tplc="C6CC35DE" w:tentative="1">
      <w:start w:val="1"/>
      <w:numFmt w:val="bullet"/>
      <w:lvlText w:val="•"/>
      <w:lvlJc w:val="left"/>
      <w:pPr>
        <w:tabs>
          <w:tab w:val="num" w:pos="1800"/>
        </w:tabs>
        <w:ind w:left="1800" w:hanging="360"/>
      </w:pPr>
      <w:rPr>
        <w:rFonts w:ascii="Arial" w:hAnsi="Arial" w:hint="default"/>
      </w:rPr>
    </w:lvl>
    <w:lvl w:ilvl="3" w:tplc="DE421266" w:tentative="1">
      <w:start w:val="1"/>
      <w:numFmt w:val="bullet"/>
      <w:lvlText w:val="•"/>
      <w:lvlJc w:val="left"/>
      <w:pPr>
        <w:tabs>
          <w:tab w:val="num" w:pos="2520"/>
        </w:tabs>
        <w:ind w:left="2520" w:hanging="360"/>
      </w:pPr>
      <w:rPr>
        <w:rFonts w:ascii="Arial" w:hAnsi="Arial" w:hint="default"/>
      </w:rPr>
    </w:lvl>
    <w:lvl w:ilvl="4" w:tplc="3C26D2D8" w:tentative="1">
      <w:start w:val="1"/>
      <w:numFmt w:val="bullet"/>
      <w:lvlText w:val="•"/>
      <w:lvlJc w:val="left"/>
      <w:pPr>
        <w:tabs>
          <w:tab w:val="num" w:pos="3240"/>
        </w:tabs>
        <w:ind w:left="3240" w:hanging="360"/>
      </w:pPr>
      <w:rPr>
        <w:rFonts w:ascii="Arial" w:hAnsi="Arial" w:hint="default"/>
      </w:rPr>
    </w:lvl>
    <w:lvl w:ilvl="5" w:tplc="58F64850" w:tentative="1">
      <w:start w:val="1"/>
      <w:numFmt w:val="bullet"/>
      <w:lvlText w:val="•"/>
      <w:lvlJc w:val="left"/>
      <w:pPr>
        <w:tabs>
          <w:tab w:val="num" w:pos="3960"/>
        </w:tabs>
        <w:ind w:left="3960" w:hanging="360"/>
      </w:pPr>
      <w:rPr>
        <w:rFonts w:ascii="Arial" w:hAnsi="Arial" w:hint="default"/>
      </w:rPr>
    </w:lvl>
    <w:lvl w:ilvl="6" w:tplc="98A68C04" w:tentative="1">
      <w:start w:val="1"/>
      <w:numFmt w:val="bullet"/>
      <w:lvlText w:val="•"/>
      <w:lvlJc w:val="left"/>
      <w:pPr>
        <w:tabs>
          <w:tab w:val="num" w:pos="4680"/>
        </w:tabs>
        <w:ind w:left="4680" w:hanging="360"/>
      </w:pPr>
      <w:rPr>
        <w:rFonts w:ascii="Arial" w:hAnsi="Arial" w:hint="default"/>
      </w:rPr>
    </w:lvl>
    <w:lvl w:ilvl="7" w:tplc="167A99D6" w:tentative="1">
      <w:start w:val="1"/>
      <w:numFmt w:val="bullet"/>
      <w:lvlText w:val="•"/>
      <w:lvlJc w:val="left"/>
      <w:pPr>
        <w:tabs>
          <w:tab w:val="num" w:pos="5400"/>
        </w:tabs>
        <w:ind w:left="5400" w:hanging="360"/>
      </w:pPr>
      <w:rPr>
        <w:rFonts w:ascii="Arial" w:hAnsi="Arial" w:hint="default"/>
      </w:rPr>
    </w:lvl>
    <w:lvl w:ilvl="8" w:tplc="4E52143E" w:tentative="1">
      <w:start w:val="1"/>
      <w:numFmt w:val="bullet"/>
      <w:lvlText w:val="•"/>
      <w:lvlJc w:val="left"/>
      <w:pPr>
        <w:tabs>
          <w:tab w:val="num" w:pos="6120"/>
        </w:tabs>
        <w:ind w:left="6120" w:hanging="360"/>
      </w:pPr>
      <w:rPr>
        <w:rFonts w:ascii="Arial" w:hAnsi="Arial" w:hint="default"/>
      </w:rPr>
    </w:lvl>
  </w:abstractNum>
  <w:num w:numId="1" w16cid:durableId="218904522">
    <w:abstractNumId w:val="15"/>
  </w:num>
  <w:num w:numId="2" w16cid:durableId="273055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851545">
    <w:abstractNumId w:val="15"/>
  </w:num>
  <w:num w:numId="4" w16cid:durableId="1496066215">
    <w:abstractNumId w:val="15"/>
  </w:num>
  <w:num w:numId="5" w16cid:durableId="1229220100">
    <w:abstractNumId w:val="15"/>
  </w:num>
  <w:num w:numId="6" w16cid:durableId="324600502">
    <w:abstractNumId w:val="15"/>
  </w:num>
  <w:num w:numId="7" w16cid:durableId="484664436">
    <w:abstractNumId w:val="15"/>
  </w:num>
  <w:num w:numId="8" w16cid:durableId="19743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6556176">
    <w:abstractNumId w:val="24"/>
  </w:num>
  <w:num w:numId="10" w16cid:durableId="245454655">
    <w:abstractNumId w:val="18"/>
  </w:num>
  <w:num w:numId="11" w16cid:durableId="151140297">
    <w:abstractNumId w:val="13"/>
  </w:num>
  <w:num w:numId="12" w16cid:durableId="1295212468">
    <w:abstractNumId w:val="8"/>
  </w:num>
  <w:num w:numId="13" w16cid:durableId="1022970341">
    <w:abstractNumId w:val="23"/>
  </w:num>
  <w:num w:numId="14" w16cid:durableId="1755281166">
    <w:abstractNumId w:val="10"/>
  </w:num>
  <w:num w:numId="15" w16cid:durableId="888495270">
    <w:abstractNumId w:val="20"/>
  </w:num>
  <w:num w:numId="16" w16cid:durableId="1201434262">
    <w:abstractNumId w:val="12"/>
  </w:num>
  <w:num w:numId="17" w16cid:durableId="1761753311">
    <w:abstractNumId w:val="7"/>
  </w:num>
  <w:num w:numId="18" w16cid:durableId="473331621">
    <w:abstractNumId w:val="11"/>
  </w:num>
  <w:num w:numId="19" w16cid:durableId="1754159420">
    <w:abstractNumId w:val="14"/>
  </w:num>
  <w:num w:numId="20" w16cid:durableId="203753948">
    <w:abstractNumId w:val="19"/>
  </w:num>
  <w:num w:numId="21" w16cid:durableId="1598363414">
    <w:abstractNumId w:val="16"/>
  </w:num>
  <w:num w:numId="22" w16cid:durableId="1383627161">
    <w:abstractNumId w:val="4"/>
  </w:num>
  <w:num w:numId="23" w16cid:durableId="279071249">
    <w:abstractNumId w:val="9"/>
  </w:num>
  <w:num w:numId="24" w16cid:durableId="1234464514">
    <w:abstractNumId w:val="22"/>
  </w:num>
  <w:num w:numId="25" w16cid:durableId="145628418">
    <w:abstractNumId w:val="0"/>
  </w:num>
  <w:num w:numId="26" w16cid:durableId="1291781483">
    <w:abstractNumId w:val="5"/>
  </w:num>
  <w:num w:numId="27" w16cid:durableId="2120760046">
    <w:abstractNumId w:val="2"/>
  </w:num>
  <w:num w:numId="28" w16cid:durableId="2080782078">
    <w:abstractNumId w:val="6"/>
  </w:num>
  <w:num w:numId="29" w16cid:durableId="1329018625">
    <w:abstractNumId w:val="17"/>
  </w:num>
  <w:num w:numId="30" w16cid:durableId="1620450092">
    <w:abstractNumId w:val="1"/>
  </w:num>
  <w:num w:numId="31" w16cid:durableId="1353144670">
    <w:abstractNumId w:val="21"/>
  </w:num>
  <w:num w:numId="32" w16cid:durableId="1671635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3"/>
    <w:rsid w:val="000114B0"/>
    <w:rsid w:val="000153D5"/>
    <w:rsid w:val="0002090F"/>
    <w:rsid w:val="00056216"/>
    <w:rsid w:val="0005624D"/>
    <w:rsid w:val="00081AEE"/>
    <w:rsid w:val="0009255A"/>
    <w:rsid w:val="000A3677"/>
    <w:rsid w:val="000C3D69"/>
    <w:rsid w:val="000C609D"/>
    <w:rsid w:val="000D0849"/>
    <w:rsid w:val="000E1B84"/>
    <w:rsid w:val="00107442"/>
    <w:rsid w:val="00111ECD"/>
    <w:rsid w:val="00121762"/>
    <w:rsid w:val="001263B8"/>
    <w:rsid w:val="00141792"/>
    <w:rsid w:val="0014545F"/>
    <w:rsid w:val="00176842"/>
    <w:rsid w:val="00195373"/>
    <w:rsid w:val="00195CA7"/>
    <w:rsid w:val="00196EF9"/>
    <w:rsid w:val="001971C5"/>
    <w:rsid w:val="001A1265"/>
    <w:rsid w:val="001B2CA6"/>
    <w:rsid w:val="001B3429"/>
    <w:rsid w:val="001D6BC9"/>
    <w:rsid w:val="002169CC"/>
    <w:rsid w:val="0022262F"/>
    <w:rsid w:val="00224070"/>
    <w:rsid w:val="00234E35"/>
    <w:rsid w:val="0025079E"/>
    <w:rsid w:val="002632B1"/>
    <w:rsid w:val="002634AA"/>
    <w:rsid w:val="00270CEF"/>
    <w:rsid w:val="00271A52"/>
    <w:rsid w:val="002C5277"/>
    <w:rsid w:val="002E3E7A"/>
    <w:rsid w:val="003010B2"/>
    <w:rsid w:val="0031559F"/>
    <w:rsid w:val="00370792"/>
    <w:rsid w:val="003A7469"/>
    <w:rsid w:val="003D4623"/>
    <w:rsid w:val="003D4DC2"/>
    <w:rsid w:val="003E1DDE"/>
    <w:rsid w:val="003F0905"/>
    <w:rsid w:val="003F4E0E"/>
    <w:rsid w:val="00401E4F"/>
    <w:rsid w:val="00406C6F"/>
    <w:rsid w:val="00415463"/>
    <w:rsid w:val="00437DBB"/>
    <w:rsid w:val="0045001A"/>
    <w:rsid w:val="00451465"/>
    <w:rsid w:val="004660FE"/>
    <w:rsid w:val="00474F8A"/>
    <w:rsid w:val="00482768"/>
    <w:rsid w:val="004B204C"/>
    <w:rsid w:val="004D69E8"/>
    <w:rsid w:val="005265D7"/>
    <w:rsid w:val="0052716D"/>
    <w:rsid w:val="00527EE6"/>
    <w:rsid w:val="0054060D"/>
    <w:rsid w:val="00541E94"/>
    <w:rsid w:val="00550C0F"/>
    <w:rsid w:val="00554BC7"/>
    <w:rsid w:val="005578FF"/>
    <w:rsid w:val="00596BA3"/>
    <w:rsid w:val="005A6B80"/>
    <w:rsid w:val="005B597F"/>
    <w:rsid w:val="005B5DCF"/>
    <w:rsid w:val="005B614A"/>
    <w:rsid w:val="005B6DA5"/>
    <w:rsid w:val="005C704C"/>
    <w:rsid w:val="005D151E"/>
    <w:rsid w:val="005D4C03"/>
    <w:rsid w:val="005E2B1D"/>
    <w:rsid w:val="005E61A7"/>
    <w:rsid w:val="0060091C"/>
    <w:rsid w:val="00615C96"/>
    <w:rsid w:val="00634512"/>
    <w:rsid w:val="00670E54"/>
    <w:rsid w:val="00671375"/>
    <w:rsid w:val="00677082"/>
    <w:rsid w:val="006B48E1"/>
    <w:rsid w:val="006D5541"/>
    <w:rsid w:val="006D62A4"/>
    <w:rsid w:val="006E2F70"/>
    <w:rsid w:val="00700062"/>
    <w:rsid w:val="00720C6A"/>
    <w:rsid w:val="007561D3"/>
    <w:rsid w:val="00785894"/>
    <w:rsid w:val="007A7DB0"/>
    <w:rsid w:val="007B3A16"/>
    <w:rsid w:val="007C22F3"/>
    <w:rsid w:val="007C3630"/>
    <w:rsid w:val="007E70CB"/>
    <w:rsid w:val="007F187A"/>
    <w:rsid w:val="007F4E30"/>
    <w:rsid w:val="007F5F1F"/>
    <w:rsid w:val="008074F3"/>
    <w:rsid w:val="008443CD"/>
    <w:rsid w:val="00864083"/>
    <w:rsid w:val="0087549F"/>
    <w:rsid w:val="00880E33"/>
    <w:rsid w:val="00891F9F"/>
    <w:rsid w:val="00897096"/>
    <w:rsid w:val="008A23F0"/>
    <w:rsid w:val="008D1067"/>
    <w:rsid w:val="008D43FB"/>
    <w:rsid w:val="008F5D90"/>
    <w:rsid w:val="008F5EE6"/>
    <w:rsid w:val="00903B3A"/>
    <w:rsid w:val="00946D50"/>
    <w:rsid w:val="009501F0"/>
    <w:rsid w:val="009B6B7D"/>
    <w:rsid w:val="009D12B9"/>
    <w:rsid w:val="009D553A"/>
    <w:rsid w:val="00A03271"/>
    <w:rsid w:val="00A07740"/>
    <w:rsid w:val="00A205CA"/>
    <w:rsid w:val="00A45276"/>
    <w:rsid w:val="00A91F28"/>
    <w:rsid w:val="00AA1BC6"/>
    <w:rsid w:val="00AB37A4"/>
    <w:rsid w:val="00AC6C86"/>
    <w:rsid w:val="00AD0DAE"/>
    <w:rsid w:val="00AE2C08"/>
    <w:rsid w:val="00AF5F0F"/>
    <w:rsid w:val="00B14996"/>
    <w:rsid w:val="00B32558"/>
    <w:rsid w:val="00B3745A"/>
    <w:rsid w:val="00B47C2A"/>
    <w:rsid w:val="00BA6541"/>
    <w:rsid w:val="00C04586"/>
    <w:rsid w:val="00C245BA"/>
    <w:rsid w:val="00C314E5"/>
    <w:rsid w:val="00C354AE"/>
    <w:rsid w:val="00C37D97"/>
    <w:rsid w:val="00C4302A"/>
    <w:rsid w:val="00C54AB9"/>
    <w:rsid w:val="00C92EDE"/>
    <w:rsid w:val="00CB7D5B"/>
    <w:rsid w:val="00CD5502"/>
    <w:rsid w:val="00D408F2"/>
    <w:rsid w:val="00D41C57"/>
    <w:rsid w:val="00D54832"/>
    <w:rsid w:val="00E04BA8"/>
    <w:rsid w:val="00E30454"/>
    <w:rsid w:val="00E36EC5"/>
    <w:rsid w:val="00E45B61"/>
    <w:rsid w:val="00E61EEC"/>
    <w:rsid w:val="00E62084"/>
    <w:rsid w:val="00E82555"/>
    <w:rsid w:val="00E95B36"/>
    <w:rsid w:val="00EA21F9"/>
    <w:rsid w:val="00EC3ADE"/>
    <w:rsid w:val="00EE19FC"/>
    <w:rsid w:val="00EF6AB2"/>
    <w:rsid w:val="00F04DCD"/>
    <w:rsid w:val="00F072EB"/>
    <w:rsid w:val="00F151C2"/>
    <w:rsid w:val="00F23AA5"/>
    <w:rsid w:val="00F3359F"/>
    <w:rsid w:val="00F51ED4"/>
    <w:rsid w:val="00F85F51"/>
    <w:rsid w:val="00F901A6"/>
    <w:rsid w:val="00F95D73"/>
    <w:rsid w:val="00FA2EF7"/>
    <w:rsid w:val="00FB2D4A"/>
    <w:rsid w:val="00FB58B1"/>
    <w:rsid w:val="00FE2879"/>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E0745"/>
  <w15:chartTrackingRefBased/>
  <w15:docId w15:val="{B883EBA1-28E6-4A99-AD14-1CE64EC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067"/>
    <w:rPr>
      <w:rFonts w:ascii="Arial" w:hAnsi="Arial"/>
      <w:sz w:val="24"/>
      <w:szCs w:val="24"/>
      <w:lang w:eastAsia="en-US"/>
    </w:rPr>
  </w:style>
  <w:style w:type="paragraph" w:styleId="Heading1">
    <w:name w:val="heading 1"/>
    <w:basedOn w:val="Normal"/>
    <w:next w:val="Normal"/>
    <w:qFormat/>
    <w:pPr>
      <w:keepNext/>
      <w:outlineLvl w:val="0"/>
    </w:pPr>
    <w:rPr>
      <w:rFonts w:cs="Arial"/>
      <w:b/>
      <w:bCs/>
      <w:kern w:val="32"/>
      <w:sz w:val="26"/>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outlineLvl w:val="2"/>
    </w:pPr>
    <w:rPr>
      <w:rFonts w:cs="Arial"/>
      <w:bCs/>
      <w:i/>
      <w:szCs w:val="26"/>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3"/>
    </w:rPr>
  </w:style>
  <w:style w:type="paragraph" w:customStyle="1" w:styleId="ReportTitle">
    <w:name w:val="Report Title"/>
    <w:basedOn w:val="Normal"/>
    <w:autoRedefine/>
    <w:rsid w:val="00415463"/>
    <w:rPr>
      <w:rFonts w:ascii="Atkinson Hyperlegible" w:hAnsi="Atkinson Hyperlegible" w:cs="Arial"/>
      <w:b/>
      <w:bCs/>
      <w:sz w:val="28"/>
      <w:szCs w:val="28"/>
    </w:rPr>
  </w:style>
  <w:style w:type="paragraph" w:styleId="Footer">
    <w:name w:val="footer"/>
    <w:basedOn w:val="Normal"/>
    <w:pPr>
      <w:tabs>
        <w:tab w:val="center" w:pos="4320"/>
        <w:tab w:val="right" w:pos="8640"/>
      </w:tabs>
    </w:pPr>
    <w:rPr>
      <w:sz w:val="23"/>
    </w:rPr>
  </w:style>
  <w:style w:type="character" w:styleId="PageNumber">
    <w:name w:val="page number"/>
    <w:rPr>
      <w:rFonts w:ascii="Arial" w:hAnsi="Arial"/>
      <w:color w:val="auto"/>
      <w:sz w:val="20"/>
    </w:rPr>
  </w:style>
  <w:style w:type="paragraph" w:styleId="TOC1">
    <w:name w:val="toc 1"/>
    <w:basedOn w:val="Normal"/>
    <w:next w:val="Normal"/>
    <w:autoRedefine/>
    <w:semiHidden/>
  </w:style>
  <w:style w:type="paragraph" w:styleId="TOC2">
    <w:name w:val="toc 2"/>
    <w:basedOn w:val="Normal"/>
    <w:next w:val="Normal"/>
    <w:autoRedefine/>
    <w:semiHidden/>
    <w:pPr>
      <w:ind w:left="230"/>
    </w:pPr>
  </w:style>
  <w:style w:type="paragraph" w:styleId="TOC3">
    <w:name w:val="toc 3"/>
    <w:basedOn w:val="Normal"/>
    <w:next w:val="Normal"/>
    <w:autoRedefine/>
    <w:semiHidden/>
    <w:pPr>
      <w:ind w:left="460"/>
    </w:p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character" w:styleId="Hyperlink">
    <w:name w:val="Hyperlink"/>
    <w:rPr>
      <w:color w:val="0000FF"/>
      <w:u w:val="single"/>
    </w:rPr>
  </w:style>
  <w:style w:type="paragraph" w:styleId="BodyText">
    <w:name w:val="Body Text"/>
    <w:basedOn w:val="Normal"/>
  </w:style>
  <w:style w:type="paragraph" w:customStyle="1" w:styleId="ReportHead1">
    <w:name w:val="Report Head 1"/>
    <w:basedOn w:val="Heading1"/>
    <w:pPr>
      <w:numPr>
        <w:numId w:val="1"/>
      </w:numPr>
    </w:pPr>
  </w:style>
  <w:style w:type="paragraph" w:customStyle="1" w:styleId="ReportHead2">
    <w:name w:val="Report Head 2"/>
    <w:basedOn w:val="Heading2"/>
    <w:pPr>
      <w:numPr>
        <w:ilvl w:val="1"/>
        <w:numId w:val="1"/>
      </w:numPr>
    </w:pPr>
  </w:style>
  <w:style w:type="paragraph" w:styleId="ListParagraph">
    <w:name w:val="List Paragraph"/>
    <w:basedOn w:val="Normal"/>
    <w:uiPriority w:val="34"/>
    <w:qFormat/>
    <w:rsid w:val="00141792"/>
    <w:pPr>
      <w:ind w:left="720"/>
    </w:pPr>
    <w:rPr>
      <w:rFonts w:ascii="Calibri" w:eastAsia="Calibri" w:hAnsi="Calibri" w:cs="Calibri"/>
      <w:sz w:val="22"/>
      <w:szCs w:val="22"/>
    </w:rPr>
  </w:style>
  <w:style w:type="paragraph" w:customStyle="1" w:styleId="Default">
    <w:name w:val="Default"/>
    <w:rsid w:val="008A23F0"/>
    <w:pPr>
      <w:autoSpaceDE w:val="0"/>
      <w:autoSpaceDN w:val="0"/>
      <w:adjustRightInd w:val="0"/>
    </w:pPr>
    <w:rPr>
      <w:rFonts w:ascii="Arial" w:hAnsi="Arial" w:cs="Arial"/>
      <w:color w:val="000000"/>
      <w:sz w:val="24"/>
      <w:szCs w:val="24"/>
    </w:rPr>
  </w:style>
  <w:style w:type="paragraph" w:customStyle="1" w:styleId="paragraph">
    <w:name w:val="paragraph"/>
    <w:basedOn w:val="Normal"/>
    <w:rsid w:val="006D62A4"/>
    <w:pPr>
      <w:spacing w:before="100" w:beforeAutospacing="1" w:after="100" w:afterAutospacing="1"/>
    </w:pPr>
    <w:rPr>
      <w:rFonts w:ascii="Calibri" w:eastAsia="Calibri" w:hAnsi="Calibri" w:cs="Calibri"/>
      <w:sz w:val="22"/>
      <w:szCs w:val="22"/>
      <w:lang w:eastAsia="en-GB"/>
    </w:rPr>
  </w:style>
  <w:style w:type="character" w:customStyle="1" w:styleId="normaltextrun">
    <w:name w:val="normaltextrun"/>
    <w:basedOn w:val="DefaultParagraphFont"/>
    <w:rsid w:val="006D62A4"/>
  </w:style>
  <w:style w:type="character" w:customStyle="1" w:styleId="eop">
    <w:name w:val="eop"/>
    <w:basedOn w:val="DefaultParagraphFont"/>
    <w:rsid w:val="006D62A4"/>
  </w:style>
  <w:style w:type="character" w:styleId="UnresolvedMention">
    <w:name w:val="Unresolved Mention"/>
    <w:basedOn w:val="DefaultParagraphFont"/>
    <w:uiPriority w:val="99"/>
    <w:semiHidden/>
    <w:unhideWhenUsed/>
    <w:rsid w:val="00CB7D5B"/>
    <w:rPr>
      <w:color w:val="605E5C"/>
      <w:shd w:val="clear" w:color="auto" w:fill="E1DFDD"/>
    </w:rPr>
  </w:style>
  <w:style w:type="table" w:styleId="TableGrid">
    <w:name w:val="Table Grid"/>
    <w:basedOn w:val="TableNormal"/>
    <w:rsid w:val="009D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30454"/>
    <w:rPr>
      <w:sz w:val="20"/>
      <w:szCs w:val="20"/>
    </w:rPr>
  </w:style>
  <w:style w:type="character" w:customStyle="1" w:styleId="FootnoteTextChar">
    <w:name w:val="Footnote Text Char"/>
    <w:basedOn w:val="DefaultParagraphFont"/>
    <w:link w:val="FootnoteText"/>
    <w:rsid w:val="00E30454"/>
    <w:rPr>
      <w:rFonts w:ascii="Arial" w:hAnsi="Arial"/>
      <w:lang w:eastAsia="en-US"/>
    </w:rPr>
  </w:style>
  <w:style w:type="character" w:styleId="FootnoteReference">
    <w:name w:val="footnote reference"/>
    <w:basedOn w:val="DefaultParagraphFont"/>
    <w:rsid w:val="00E30454"/>
    <w:rPr>
      <w:vertAlign w:val="superscript"/>
    </w:rPr>
  </w:style>
  <w:style w:type="character" w:styleId="FollowedHyperlink">
    <w:name w:val="FollowedHyperlink"/>
    <w:basedOn w:val="DefaultParagraphFont"/>
    <w:rsid w:val="00E62084"/>
    <w:rPr>
      <w:color w:val="954F72" w:themeColor="followedHyperlink"/>
      <w:u w:val="single"/>
    </w:rPr>
  </w:style>
  <w:style w:type="character" w:customStyle="1" w:styleId="ui-provider">
    <w:name w:val="ui-provider"/>
    <w:basedOn w:val="DefaultParagraphFont"/>
    <w:rsid w:val="00F5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709">
      <w:bodyDiv w:val="1"/>
      <w:marLeft w:val="0"/>
      <w:marRight w:val="0"/>
      <w:marTop w:val="0"/>
      <w:marBottom w:val="0"/>
      <w:divBdr>
        <w:top w:val="none" w:sz="0" w:space="0" w:color="auto"/>
        <w:left w:val="none" w:sz="0" w:space="0" w:color="auto"/>
        <w:bottom w:val="none" w:sz="0" w:space="0" w:color="auto"/>
        <w:right w:val="none" w:sz="0" w:space="0" w:color="auto"/>
      </w:divBdr>
    </w:div>
    <w:div w:id="813067465">
      <w:bodyDiv w:val="1"/>
      <w:marLeft w:val="0"/>
      <w:marRight w:val="0"/>
      <w:marTop w:val="0"/>
      <w:marBottom w:val="0"/>
      <w:divBdr>
        <w:top w:val="none" w:sz="0" w:space="0" w:color="auto"/>
        <w:left w:val="none" w:sz="0" w:space="0" w:color="auto"/>
        <w:bottom w:val="none" w:sz="0" w:space="0" w:color="auto"/>
        <w:right w:val="none" w:sz="0" w:space="0" w:color="auto"/>
      </w:divBdr>
    </w:div>
    <w:div w:id="931398145">
      <w:bodyDiv w:val="1"/>
      <w:marLeft w:val="0"/>
      <w:marRight w:val="0"/>
      <w:marTop w:val="0"/>
      <w:marBottom w:val="0"/>
      <w:divBdr>
        <w:top w:val="none" w:sz="0" w:space="0" w:color="auto"/>
        <w:left w:val="none" w:sz="0" w:space="0" w:color="auto"/>
        <w:bottom w:val="none" w:sz="0" w:space="0" w:color="auto"/>
        <w:right w:val="none" w:sz="0" w:space="0" w:color="auto"/>
      </w:divBdr>
    </w:div>
    <w:div w:id="953710961">
      <w:bodyDiv w:val="1"/>
      <w:marLeft w:val="0"/>
      <w:marRight w:val="0"/>
      <w:marTop w:val="0"/>
      <w:marBottom w:val="0"/>
      <w:divBdr>
        <w:top w:val="none" w:sz="0" w:space="0" w:color="auto"/>
        <w:left w:val="none" w:sz="0" w:space="0" w:color="auto"/>
        <w:bottom w:val="none" w:sz="0" w:space="0" w:color="auto"/>
        <w:right w:val="none" w:sz="0" w:space="0" w:color="auto"/>
      </w:divBdr>
    </w:div>
    <w:div w:id="11900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cawley@somerset.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emocracy.somerset.gov.uk/documents/s16514/Decision%20to%20award%20Contracts%20for%20Care%20and%20Support%20at%20Home%20in%20Somerset.pdf" TargetMode="External"/><Relationship Id="rId2" Type="http://schemas.openxmlformats.org/officeDocument/2006/relationships/hyperlink" Target="https://somersetcc.sharepoint.com/sites/SCCPublic/Social%20Care/Forms/AllItems.aspx?id=%2Fsites%2FSCCPublic%2FSocial%20Care%2FMarket%20Sustainability%20Plan%2024%2E3%2E2023%2Epdf&amp;parent=%2Fsites%2FSCCPublic%2FSocial%20Care&amp;p=true&amp;ga=1" TargetMode="External"/><Relationship Id="rId1" Type="http://schemas.openxmlformats.org/officeDocument/2006/relationships/hyperlink" Target="https://somersetcc.sharepoint.com/:b:/s/SCCPublic/EbzJGB-oQYhAmz03onho8WgBzCceTKFWxY14zTPPpyWxOg?e=yDNUyx" TargetMode="External"/><Relationship Id="rId5" Type="http://schemas.openxmlformats.org/officeDocument/2006/relationships/hyperlink" Target="https://somersetprovidernetwork.org.uk/support-for-providers/quality-assurance-contracts/provider-failure-closure-policy/" TargetMode="External"/><Relationship Id="rId4" Type="http://schemas.openxmlformats.org/officeDocument/2006/relationships/hyperlink" Target="https://somersetprovidernetwork.org.uk/support-for-providers/quality-assurance-contracts/care-provider-quality-assurance-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Jackson\AppData\Local\Microsoft\Windows\INetCache\Content.Outlook\9W5WHAWB\Scrutiny%20Report%20Template%20SC%20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F0084D2619E45897D916366586DC2" ma:contentTypeVersion="18" ma:contentTypeDescription="Create a new document." ma:contentTypeScope="" ma:versionID="4a9822ebeea245ea7125ddaba1c1fa37">
  <xsd:schema xmlns:xsd="http://www.w3.org/2001/XMLSchema" xmlns:xs="http://www.w3.org/2001/XMLSchema" xmlns:p="http://schemas.microsoft.com/office/2006/metadata/properties" xmlns:ns2="53e61792-80e9-49b3-ac7d-ef962a816aae" xmlns:ns3="7dc008a5-5ed2-4e05-8ecd-f2383eab7cb2" xmlns:ns4="3e24bc36-2db9-4dd4-83ef-e2c9c598d6d6" targetNamespace="http://schemas.microsoft.com/office/2006/metadata/properties" ma:root="true" ma:fieldsID="e1b08b6edd46f2b6b92d013ed5311900" ns2:_="" ns3:_="" ns4:_="">
    <xsd:import namespace="53e61792-80e9-49b3-ac7d-ef962a816aae"/>
    <xsd:import namespace="7dc008a5-5ed2-4e05-8ecd-f2383eab7cb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1792-80e9-49b3-ac7d-ef962a816a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7dc008a5-5ed2-4e05-8ecd-f2383eab7cb2">
      <UserInfo>
        <DisplayName>Fiona Abbott</DisplayName>
        <AccountId>393</AccountId>
        <AccountType/>
      </UserInfo>
      <UserInfo>
        <DisplayName>Jamie Jackson</DisplayName>
        <AccountId>18</AccountId>
        <AccountType/>
      </UserInfo>
    </SharedWithUsers>
    <lcf76f155ced4ddcb4097134ff3c332f xmlns="53e61792-80e9-49b3-ac7d-ef962a816aae">
      <Terms xmlns="http://schemas.microsoft.com/office/infopath/2007/PartnerControls"/>
    </lcf76f155ced4ddcb4097134ff3c332f>
    <TaxCatchAll xmlns="3e24bc36-2db9-4dd4-83ef-e2c9c598d6d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DFF0-22F2-4043-9B93-37B27775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61792-80e9-49b3-ac7d-ef962a816aae"/>
    <ds:schemaRef ds:uri="7dc008a5-5ed2-4e05-8ecd-f2383eab7cb2"/>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9A100-B16E-45D0-B5D3-2B5A8AD82ECC}">
  <ds:schemaRefs>
    <ds:schemaRef ds:uri="http://schemas.microsoft.com/office/2006/metadata/longProperties"/>
  </ds:schemaRefs>
</ds:datastoreItem>
</file>

<file path=customXml/itemProps3.xml><?xml version="1.0" encoding="utf-8"?>
<ds:datastoreItem xmlns:ds="http://schemas.openxmlformats.org/officeDocument/2006/customXml" ds:itemID="{EC09D671-68A4-46E4-8DF2-B42E874F5786}">
  <ds:schemaRefs>
    <ds:schemaRef ds:uri="Microsoft.SharePoint.Taxonomy.ContentTypeSync"/>
  </ds:schemaRefs>
</ds:datastoreItem>
</file>

<file path=customXml/itemProps4.xml><?xml version="1.0" encoding="utf-8"?>
<ds:datastoreItem xmlns:ds="http://schemas.openxmlformats.org/officeDocument/2006/customXml" ds:itemID="{F2154DFA-DB92-4ECB-9521-C5629C9AF583}">
  <ds:schemaRefs>
    <ds:schemaRef ds:uri="http://schemas.openxmlformats.org/officeDocument/2006/bibliography"/>
  </ds:schemaRefs>
</ds:datastoreItem>
</file>

<file path=customXml/itemProps5.xml><?xml version="1.0" encoding="utf-8"?>
<ds:datastoreItem xmlns:ds="http://schemas.openxmlformats.org/officeDocument/2006/customXml" ds:itemID="{F2D5C67E-4E71-4EBF-AF96-57DAFFC1F916}">
  <ds:schemaRefs>
    <ds:schemaRef ds:uri="http://schemas.microsoft.com/office/2006/metadata/properties"/>
    <ds:schemaRef ds:uri="3e24bc36-2db9-4dd4-83ef-e2c9c598d6d6"/>
    <ds:schemaRef ds:uri="http://purl.org/dc/dcmitype/"/>
    <ds:schemaRef ds:uri="http://purl.org/dc/elements/1.1/"/>
    <ds:schemaRef ds:uri="http://schemas.microsoft.com/office/2006/documentManagement/types"/>
    <ds:schemaRef ds:uri="53e61792-80e9-49b3-ac7d-ef962a816aae"/>
    <ds:schemaRef ds:uri="http://www.w3.org/XML/1998/namespace"/>
    <ds:schemaRef ds:uri="http://schemas.microsoft.com/office/infopath/2007/PartnerControls"/>
    <ds:schemaRef ds:uri="http://schemas.openxmlformats.org/package/2006/metadata/core-properties"/>
    <ds:schemaRef ds:uri="7dc008a5-5ed2-4e05-8ecd-f2383eab7cb2"/>
    <ds:schemaRef ds:uri="http://purl.org/dc/terms/"/>
  </ds:schemaRefs>
</ds:datastoreItem>
</file>

<file path=customXml/itemProps6.xml><?xml version="1.0" encoding="utf-8"?>
<ds:datastoreItem xmlns:ds="http://schemas.openxmlformats.org/officeDocument/2006/customXml" ds:itemID="{D6EF71D8-F43C-492D-94AA-0B89C72657FA}">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Scrutiny Report Template SC 2023</Template>
  <TotalTime>5</TotalTime>
  <Pages>8</Pages>
  <Words>3238</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Jamie Jackson</dc:creator>
  <cp:keywords/>
  <dc:description/>
  <cp:lastModifiedBy>Niki Shaw</cp:lastModifiedBy>
  <cp:revision>6</cp:revision>
  <cp:lastPrinted>2005-10-25T09:03:00Z</cp:lastPrinted>
  <dcterms:created xsi:type="dcterms:W3CDTF">2024-02-05T08:26:00Z</dcterms:created>
  <dcterms:modified xsi:type="dcterms:W3CDTF">2024-02-05T10:21:00Z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Jamie Jackson</vt:lpwstr>
  </property>
  <property fmtid="{D5CDD505-2E9C-101B-9397-08002B2CF9AE}" pid="3" name="display_urn:schemas-microsoft-com:office:office#SharedWithUsers">
    <vt:lpwstr>Fiona Abbott;Jamie Jackson</vt:lpwstr>
  </property>
  <property fmtid="{D5CDD505-2E9C-101B-9397-08002B2CF9AE}" pid="4" name="SharedWithUsers">
    <vt:lpwstr>393;#Fiona Abbott;#18;#Jamie Jackson</vt:lpwstr>
  </property>
  <property fmtid="{D5CDD505-2E9C-101B-9397-08002B2CF9AE}" pid="5" name="Archive">
    <vt:lpwstr>0</vt:lpwstr>
  </property>
  <property fmtid="{D5CDD505-2E9C-101B-9397-08002B2CF9AE}" pid="6" name="ContentTypeId">
    <vt:lpwstr>0x01010025DF0084D2619E45897D916366586DC2</vt:lpwstr>
  </property>
  <property fmtid="{D5CDD505-2E9C-101B-9397-08002B2CF9AE}" pid="7" name="MediaServiceImageTags">
    <vt:lpwstr/>
  </property>
</Properties>
</file>