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Metadata/LabelInfo.xml" ContentType="application/vnd.ms-office.classificationlabel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webSettings.xml" ContentType="application/vnd.openxmlformats-officedocument.wordprocessingml.webSetting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115" w:type="dxa"/>
          <w:right w:w="115" w:type="dxa"/>
        </w:tblCellMar>
        <w:tblLook w:val="0000" w:firstRow="0" w:lastRow="0" w:firstColumn="0" w:lastColumn="0" w:noHBand="0" w:noVBand="0"/>
      </w:tblPr>
      <w:tblGrid>
        <w:gridCol w:w="6375"/>
        <w:gridCol w:w="2960"/>
      </w:tblGrid>
      <w:tr w:rsidR="00195373" w:rsidRPr="000A3677" w14:paraId="15D95050" w14:textId="77777777">
        <w:trPr>
          <w:trHeight w:val="347"/>
        </w:trPr>
        <w:tc>
          <w:tcPr>
            <w:tcW w:w="3441" w:type="pct"/>
            <w:tcBorders>
              <w:bottom w:val="single" w:sz="4" w:space="0" w:color="auto"/>
            </w:tcBorders>
            <w:vAlign w:val="bottom"/>
          </w:tcPr>
          <w:p w14:paraId="4DA6775D" w14:textId="3BA792EC" w:rsidR="00195373" w:rsidRPr="000A3677" w:rsidRDefault="00195373">
            <w:pPr>
              <w:pStyle w:val="Heading4"/>
              <w:rPr>
                <w:rFonts w:ascii="Atkinson Hyperlegible" w:hAnsi="Atkinson Hyperlegible" w:cs="Arial"/>
                <w:sz w:val="24"/>
              </w:rPr>
            </w:pPr>
            <w:r w:rsidRPr="000A3677">
              <w:rPr>
                <w:rFonts w:ascii="Atkinson Hyperlegible" w:hAnsi="Atkinson Hyperlegible" w:cs="Arial"/>
                <w:sz w:val="24"/>
              </w:rPr>
              <w:t xml:space="preserve">Somerset </w:t>
            </w:r>
            <w:r w:rsidR="00A03271">
              <w:rPr>
                <w:rFonts w:ascii="Atkinson Hyperlegible" w:hAnsi="Atkinson Hyperlegible" w:cs="Arial"/>
                <w:sz w:val="24"/>
              </w:rPr>
              <w:t>Safeguarding Adults Board</w:t>
            </w:r>
          </w:p>
          <w:p w14:paraId="063E09A6" w14:textId="493912B5" w:rsidR="00195373" w:rsidRPr="000A3677" w:rsidRDefault="00A03271">
            <w:pPr>
              <w:pStyle w:val="Heading4"/>
              <w:rPr>
                <w:rFonts w:ascii="Atkinson Hyperlegible" w:hAnsi="Atkinson Hyperlegible" w:cs="Arial"/>
                <w:sz w:val="24"/>
              </w:rPr>
            </w:pPr>
            <w:r>
              <w:rPr>
                <w:rFonts w:ascii="Atkinson Hyperlegible" w:hAnsi="Atkinson Hyperlegible" w:cs="Arial"/>
                <w:sz w:val="24"/>
              </w:rPr>
              <w:t>Quality &amp; Performance Subgroup</w:t>
            </w:r>
          </w:p>
          <w:p w14:paraId="2B767006" w14:textId="0D9E7335" w:rsidR="00195373" w:rsidRDefault="001B4292">
            <w:pPr>
              <w:rPr>
                <w:rFonts w:ascii="Atkinson Hyperlegible" w:hAnsi="Atkinson Hyperlegible" w:cs="Arial"/>
              </w:rPr>
            </w:pPr>
            <w:r>
              <w:rPr>
                <w:rFonts w:ascii="Atkinson Hyperlegible" w:hAnsi="Atkinson Hyperlegible" w:cs="Arial"/>
              </w:rPr>
              <w:t xml:space="preserve">8 </w:t>
            </w:r>
            <w:r w:rsidR="00763B5A">
              <w:rPr>
                <w:rFonts w:ascii="Atkinson Hyperlegible" w:hAnsi="Atkinson Hyperlegible" w:cs="Arial"/>
              </w:rPr>
              <w:t>February 2024</w:t>
            </w:r>
          </w:p>
          <w:p w14:paraId="1504D723" w14:textId="77777777" w:rsidR="005B597F" w:rsidRPr="000A3677" w:rsidRDefault="005B597F">
            <w:pPr>
              <w:rPr>
                <w:rFonts w:ascii="Atkinson Hyperlegible" w:hAnsi="Atkinson Hyperlegible" w:cs="Arial"/>
              </w:rPr>
            </w:pPr>
          </w:p>
        </w:tc>
        <w:tc>
          <w:tcPr>
            <w:tcW w:w="1559" w:type="pct"/>
            <w:tcBorders>
              <w:bottom w:val="single" w:sz="4" w:space="0" w:color="auto"/>
            </w:tcBorders>
          </w:tcPr>
          <w:p w14:paraId="75BE052C" w14:textId="3C26F09B" w:rsidR="00195373" w:rsidRPr="000A3677" w:rsidRDefault="007741ED">
            <w:pPr>
              <w:pStyle w:val="Heading4"/>
              <w:jc w:val="right"/>
              <w:rPr>
                <w:rFonts w:ascii="Atkinson Hyperlegible" w:hAnsi="Atkinson Hyperlegible" w:cs="Arial"/>
                <w:sz w:val="24"/>
              </w:rPr>
            </w:pPr>
            <w:r>
              <w:rPr>
                <w:noProof/>
              </w:rPr>
              <w:drawing>
                <wp:inline distT="0" distB="0" distL="0" distR="0" wp14:anchorId="5491980E" wp14:editId="1765EC4C">
                  <wp:extent cx="1733550" cy="552450"/>
                  <wp:effectExtent l="0" t="0" r="0" b="0"/>
                  <wp:docPr id="1" name="Picture 1" descr="Somerset Safeguarding Adult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set Safeguarding Adults Bo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0" cy="552450"/>
                          </a:xfrm>
                          <a:prstGeom prst="rect">
                            <a:avLst/>
                          </a:prstGeom>
                          <a:noFill/>
                          <a:ln>
                            <a:noFill/>
                          </a:ln>
                        </pic:spPr>
                      </pic:pic>
                    </a:graphicData>
                  </a:graphic>
                </wp:inline>
              </w:drawing>
            </w:r>
          </w:p>
        </w:tc>
      </w:tr>
    </w:tbl>
    <w:p w14:paraId="4CEAD31F" w14:textId="1DA879E0" w:rsidR="00195373" w:rsidRPr="00415463" w:rsidRDefault="00763B5A" w:rsidP="00415463">
      <w:pPr>
        <w:pStyle w:val="ReportTitle"/>
      </w:pPr>
      <w:r>
        <w:t>Overdue</w:t>
      </w:r>
      <w:r w:rsidR="00257266">
        <w:t xml:space="preserve"> ASC</w:t>
      </w:r>
      <w:r>
        <w:t xml:space="preserve"> Assessments and Reviews</w:t>
      </w:r>
    </w:p>
    <w:p w14:paraId="0AE9AD96" w14:textId="61C7B905" w:rsidR="00415463" w:rsidRDefault="00195373">
      <w:pPr>
        <w:rPr>
          <w:rFonts w:ascii="Atkinson Hyperlegible" w:hAnsi="Atkinson Hyperlegible" w:cs="Arial"/>
        </w:rPr>
      </w:pPr>
      <w:r w:rsidRPr="000A3677">
        <w:rPr>
          <w:rFonts w:ascii="Atkinson Hyperlegible" w:hAnsi="Atkinson Hyperlegible" w:cs="Arial"/>
        </w:rPr>
        <w:t>Author:</w:t>
      </w:r>
      <w:r w:rsidR="0012292B">
        <w:rPr>
          <w:rFonts w:ascii="Atkinson Hyperlegible" w:hAnsi="Atkinson Hyperlegible" w:cs="Arial"/>
        </w:rPr>
        <w:t xml:space="preserve"> Angela King</w:t>
      </w:r>
      <w:r w:rsidR="001B4292">
        <w:rPr>
          <w:rFonts w:ascii="Atkinson Hyperlegible" w:hAnsi="Atkinson Hyperlegible" w:cs="Arial"/>
        </w:rPr>
        <w:t>, Strategic Manager - Neighbourhoods</w:t>
      </w:r>
    </w:p>
    <w:p w14:paraId="3778301C" w14:textId="610F020E" w:rsidR="00195373" w:rsidRPr="000A3677" w:rsidRDefault="00415463">
      <w:pPr>
        <w:rPr>
          <w:rFonts w:ascii="Atkinson Hyperlegible" w:hAnsi="Atkinson Hyperlegible" w:cs="Arial"/>
        </w:rPr>
      </w:pPr>
      <w:r>
        <w:rPr>
          <w:rFonts w:ascii="Atkinson Hyperlegible" w:hAnsi="Atkinson Hyperlegible" w:cs="Arial"/>
        </w:rPr>
        <w:t>Organisation:</w:t>
      </w:r>
      <w:r w:rsidR="00195373" w:rsidRPr="000A3677">
        <w:rPr>
          <w:rFonts w:ascii="Atkinson Hyperlegible" w:hAnsi="Atkinson Hyperlegible" w:cs="Arial"/>
        </w:rPr>
        <w:t xml:space="preserve"> </w:t>
      </w:r>
      <w:r w:rsidR="00D51A43">
        <w:rPr>
          <w:rFonts w:ascii="Atkinson Hyperlegible" w:hAnsi="Atkinson Hyperlegible" w:cs="Arial"/>
        </w:rPr>
        <w:t>Adult Social Care</w:t>
      </w:r>
      <w:r w:rsidR="001B4292">
        <w:rPr>
          <w:rFonts w:ascii="Atkinson Hyperlegible" w:hAnsi="Atkinson Hyperlegible" w:cs="Arial"/>
        </w:rPr>
        <w:t xml:space="preserve">, </w:t>
      </w:r>
      <w:r w:rsidR="00D51A43">
        <w:rPr>
          <w:rFonts w:ascii="Atkinson Hyperlegible" w:hAnsi="Atkinson Hyperlegible" w:cs="Arial"/>
        </w:rPr>
        <w:t>Somerset Council</w:t>
      </w:r>
    </w:p>
    <w:p w14:paraId="18DA8096" w14:textId="4ECCBD17" w:rsidR="00195373" w:rsidRPr="000A3677" w:rsidRDefault="00195373">
      <w:pPr>
        <w:rPr>
          <w:rFonts w:ascii="Atkinson Hyperlegible" w:hAnsi="Atkinson Hyperlegible" w:cs="Arial"/>
        </w:rPr>
      </w:pPr>
      <w:r w:rsidRPr="000A3677">
        <w:rPr>
          <w:rFonts w:ascii="Atkinson Hyperlegible" w:hAnsi="Atkinson Hyperlegible" w:cs="Arial"/>
        </w:rPr>
        <w:t xml:space="preserve">Contact Details: </w:t>
      </w:r>
      <w:hyperlink r:id="rId13" w:history="1">
        <w:r w:rsidR="001B4292" w:rsidRPr="008676C9">
          <w:rPr>
            <w:rStyle w:val="Hyperlink"/>
            <w:rFonts w:ascii="Atkinson Hyperlegible" w:hAnsi="Atkinson Hyperlegible" w:cs="Arial"/>
          </w:rPr>
          <w:t>Angela.King@Somerset.gov.uk</w:t>
        </w:r>
      </w:hyperlink>
      <w:r w:rsidR="001B4292">
        <w:rPr>
          <w:rFonts w:ascii="Atkinson Hyperlegible" w:hAnsi="Atkinson Hyperlegible" w:cs="Arial"/>
        </w:rPr>
        <w:t xml:space="preserve"> </w:t>
      </w:r>
    </w:p>
    <w:p w14:paraId="26FC1C08" w14:textId="77777777" w:rsidR="00195373" w:rsidRPr="000A3677" w:rsidRDefault="00195373">
      <w:pPr>
        <w:rPr>
          <w:rFonts w:ascii="Atkinson Hyperlegible" w:hAnsi="Atkinson Hyperlegible" w:cs="Arial"/>
        </w:rPr>
      </w:pPr>
    </w:p>
    <w:tbl>
      <w:tblPr>
        <w:tblW w:w="5000" w:type="pct"/>
        <w:tblCellSpacing w:w="11" w:type="dxa"/>
        <w:tblCellMar>
          <w:top w:w="115" w:type="dxa"/>
          <w:left w:w="115" w:type="dxa"/>
          <w:bottom w:w="115" w:type="dxa"/>
          <w:right w:w="115" w:type="dxa"/>
        </w:tblCellMar>
        <w:tblLook w:val="0000" w:firstRow="0" w:lastRow="0" w:firstColumn="0" w:lastColumn="0" w:noHBand="0" w:noVBand="0"/>
      </w:tblPr>
      <w:tblGrid>
        <w:gridCol w:w="697"/>
        <w:gridCol w:w="8638"/>
      </w:tblGrid>
      <w:tr w:rsidR="00195373" w:rsidRPr="000A3677" w14:paraId="201B0015" w14:textId="77777777" w:rsidTr="00E92B57">
        <w:trPr>
          <w:trHeight w:val="363"/>
          <w:tblCellSpacing w:w="11" w:type="dxa"/>
        </w:trPr>
        <w:tc>
          <w:tcPr>
            <w:tcW w:w="4976" w:type="pct"/>
            <w:gridSpan w:val="2"/>
          </w:tcPr>
          <w:p w14:paraId="30CC13A9" w14:textId="77777777" w:rsidR="00195373" w:rsidRPr="00E92B57" w:rsidRDefault="00195373">
            <w:pPr>
              <w:pStyle w:val="ReportHead1"/>
              <w:tabs>
                <w:tab w:val="clear" w:pos="360"/>
                <w:tab w:val="num" w:pos="714"/>
              </w:tabs>
              <w:rPr>
                <w:rFonts w:ascii="Atkinson Hyperlegible" w:hAnsi="Atkinson Hyperlegible"/>
                <w:sz w:val="24"/>
                <w:szCs w:val="24"/>
              </w:rPr>
            </w:pPr>
            <w:r w:rsidRPr="00E92B57">
              <w:rPr>
                <w:rFonts w:ascii="Atkinson Hyperlegible" w:hAnsi="Atkinson Hyperlegible"/>
                <w:sz w:val="24"/>
                <w:szCs w:val="24"/>
              </w:rPr>
              <w:t>Summary</w:t>
            </w:r>
          </w:p>
        </w:tc>
      </w:tr>
      <w:tr w:rsidR="00A27CE2" w:rsidRPr="002858FB" w14:paraId="171DA2BD" w14:textId="77777777" w:rsidTr="007E70CB">
        <w:trPr>
          <w:trHeight w:val="297"/>
          <w:tblCellSpacing w:w="11" w:type="dxa"/>
        </w:trPr>
        <w:tc>
          <w:tcPr>
            <w:tcW w:w="356" w:type="pct"/>
          </w:tcPr>
          <w:p w14:paraId="17FB5F6E" w14:textId="77777777" w:rsidR="00A27CE2" w:rsidRPr="00E92B57" w:rsidRDefault="00A27CE2">
            <w:pPr>
              <w:pStyle w:val="ReportHead2"/>
              <w:keepNext w:val="0"/>
              <w:tabs>
                <w:tab w:val="num" w:pos="714"/>
              </w:tabs>
              <w:rPr>
                <w:rFonts w:ascii="Atkinson Hyperlegible" w:hAnsi="Atkinson Hyperlegible"/>
                <w:szCs w:val="24"/>
              </w:rPr>
            </w:pPr>
          </w:p>
        </w:tc>
        <w:tc>
          <w:tcPr>
            <w:tcW w:w="4609" w:type="pct"/>
          </w:tcPr>
          <w:p w14:paraId="2188C5EC" w14:textId="3499223B" w:rsidR="00825754" w:rsidRPr="00E92B57" w:rsidRDefault="00E92B57">
            <w:pPr>
              <w:tabs>
                <w:tab w:val="num" w:pos="714"/>
              </w:tabs>
              <w:rPr>
                <w:rFonts w:ascii="Atkinson Hyperlegible" w:hAnsi="Atkinson Hyperlegible" w:cs="Arial"/>
                <w:i/>
                <w:iCs/>
              </w:rPr>
            </w:pPr>
            <w:r w:rsidRPr="00E92B57">
              <w:rPr>
                <w:rFonts w:cs="Arial"/>
                <w:b/>
                <w:bCs/>
                <w:i/>
                <w:iCs/>
              </w:rPr>
              <w:t>“</w:t>
            </w:r>
            <w:r w:rsidRPr="00E92B57">
              <w:rPr>
                <w:rFonts w:ascii="Atkinson Hyperlegible" w:hAnsi="Atkinson Hyperlegible" w:cs="Arial"/>
                <w:b/>
                <w:bCs/>
                <w:i/>
                <w:iCs/>
              </w:rPr>
              <w:t>In common with local authorities across the country, Somerset has high levels of overdue adult social care assessments and reviews”:</w:t>
            </w:r>
            <w:r w:rsidRPr="00E92B57">
              <w:rPr>
                <w:rFonts w:ascii="Atkinson Hyperlegible" w:hAnsi="Atkinson Hyperlegible" w:cs="Arial"/>
              </w:rPr>
              <w:t xml:space="preserve"> </w:t>
            </w:r>
            <w:r w:rsidRPr="00E92B57">
              <w:rPr>
                <w:rFonts w:ascii="Atkinson Hyperlegible" w:hAnsi="Atkinson Hyperlegible" w:cs="Arial"/>
                <w:i/>
                <w:iCs/>
              </w:rPr>
              <w:t xml:space="preserve">There is concern form the Multiagency Performance and Quality subgroup that </w:t>
            </w:r>
            <w:r w:rsidR="001B4292">
              <w:rPr>
                <w:rFonts w:ascii="Atkinson Hyperlegible" w:hAnsi="Atkinson Hyperlegible" w:cs="Arial"/>
                <w:i/>
                <w:iCs/>
              </w:rPr>
              <w:t>w</w:t>
            </w:r>
            <w:r w:rsidRPr="00E92B57">
              <w:rPr>
                <w:rFonts w:ascii="Atkinson Hyperlegible" w:hAnsi="Atkinson Hyperlegible" w:cs="Arial"/>
                <w:i/>
                <w:iCs/>
              </w:rPr>
              <w:t xml:space="preserve">hilst triaging activity is undertaken to support risk </w:t>
            </w:r>
            <w:r w:rsidR="00E7174A" w:rsidRPr="00E92B57">
              <w:rPr>
                <w:rFonts w:ascii="Atkinson Hyperlegible" w:hAnsi="Atkinson Hyperlegible" w:cs="Arial"/>
                <w:i/>
                <w:iCs/>
              </w:rPr>
              <w:t>management -</w:t>
            </w:r>
            <w:r w:rsidRPr="00E92B57">
              <w:rPr>
                <w:rFonts w:ascii="Atkinson Hyperlegible" w:hAnsi="Atkinson Hyperlegible" w:cs="Arial"/>
                <w:i/>
                <w:iCs/>
              </w:rPr>
              <w:t xml:space="preserve"> issues of </w:t>
            </w:r>
            <w:proofErr w:type="gramStart"/>
            <w:r w:rsidRPr="00E92B57">
              <w:rPr>
                <w:rFonts w:ascii="Atkinson Hyperlegible" w:hAnsi="Atkinson Hyperlegible" w:cs="Arial"/>
                <w:i/>
                <w:iCs/>
              </w:rPr>
              <w:t>relevance  to</w:t>
            </w:r>
            <w:proofErr w:type="gramEnd"/>
            <w:r w:rsidRPr="00E92B57">
              <w:rPr>
                <w:rFonts w:ascii="Atkinson Hyperlegible" w:hAnsi="Atkinson Hyperlegible" w:cs="Arial"/>
                <w:i/>
                <w:iCs/>
              </w:rPr>
              <w:t xml:space="preserve"> safeguarding may fail to be identified, escalated  and/or prevented in a timely way or effective way linked to this demand and capacity challenge</w:t>
            </w:r>
          </w:p>
        </w:tc>
      </w:tr>
      <w:tr w:rsidR="00E92B57" w:rsidRPr="002858FB" w14:paraId="0BF95BBA" w14:textId="77777777" w:rsidTr="007E70CB">
        <w:trPr>
          <w:trHeight w:val="297"/>
          <w:tblCellSpacing w:w="11" w:type="dxa"/>
        </w:trPr>
        <w:tc>
          <w:tcPr>
            <w:tcW w:w="356" w:type="pct"/>
          </w:tcPr>
          <w:p w14:paraId="5E741D4B" w14:textId="77777777" w:rsidR="00E92B57" w:rsidRPr="00E92B57" w:rsidRDefault="00E92B57">
            <w:pPr>
              <w:pStyle w:val="ReportHead2"/>
              <w:keepNext w:val="0"/>
              <w:tabs>
                <w:tab w:val="num" w:pos="714"/>
              </w:tabs>
              <w:rPr>
                <w:rFonts w:ascii="Atkinson Hyperlegible" w:hAnsi="Atkinson Hyperlegible"/>
                <w:szCs w:val="24"/>
              </w:rPr>
            </w:pPr>
          </w:p>
        </w:tc>
        <w:tc>
          <w:tcPr>
            <w:tcW w:w="4609" w:type="pct"/>
          </w:tcPr>
          <w:p w14:paraId="2794A136" w14:textId="6756F95C" w:rsidR="00E92B57" w:rsidRPr="00E92B57" w:rsidRDefault="00E92B57">
            <w:pPr>
              <w:tabs>
                <w:tab w:val="num" w:pos="714"/>
              </w:tabs>
              <w:rPr>
                <w:rFonts w:cs="Arial"/>
                <w:b/>
                <w:bCs/>
                <w:i/>
                <w:iCs/>
              </w:rPr>
            </w:pPr>
            <w:r w:rsidRPr="00E92B57">
              <w:rPr>
                <w:rFonts w:ascii="Atkinson Hyperlegible" w:hAnsi="Atkinson Hyperlegible" w:cs="Arial"/>
              </w:rPr>
              <w:t xml:space="preserve">This report aims to update the Safeguarding Adults Board subgroup with </w:t>
            </w:r>
            <w:r w:rsidR="001B4292">
              <w:rPr>
                <w:rFonts w:ascii="Atkinson Hyperlegible" w:hAnsi="Atkinson Hyperlegible" w:cs="Arial"/>
              </w:rPr>
              <w:t>the latest position</w:t>
            </w:r>
            <w:r w:rsidRPr="00E92B57">
              <w:rPr>
                <w:rFonts w:ascii="Atkinson Hyperlegible" w:hAnsi="Atkinson Hyperlegible" w:cs="Arial"/>
              </w:rPr>
              <w:t xml:space="preserve"> and data analysis </w:t>
            </w:r>
            <w:r w:rsidR="001B4292">
              <w:rPr>
                <w:rFonts w:ascii="Atkinson Hyperlegible" w:hAnsi="Atkinson Hyperlegible" w:cs="Arial"/>
              </w:rPr>
              <w:t>relating to</w:t>
            </w:r>
            <w:r w:rsidRPr="00E92B57">
              <w:rPr>
                <w:rFonts w:ascii="Atkinson Hyperlegible" w:hAnsi="Atkinson Hyperlegible" w:cs="Arial"/>
              </w:rPr>
              <w:t xml:space="preserve"> overdue assessment and reviews, performance in the last </w:t>
            </w:r>
            <w:r w:rsidR="001B4292">
              <w:rPr>
                <w:rFonts w:ascii="Atkinson Hyperlegible" w:hAnsi="Atkinson Hyperlegible" w:cs="Arial"/>
              </w:rPr>
              <w:t>q</w:t>
            </w:r>
            <w:r w:rsidRPr="00E92B57">
              <w:rPr>
                <w:rFonts w:ascii="Atkinson Hyperlegible" w:hAnsi="Atkinson Hyperlegible" w:cs="Arial"/>
              </w:rPr>
              <w:t>uarter and management actions</w:t>
            </w:r>
            <w:r w:rsidR="001B4292">
              <w:rPr>
                <w:rFonts w:ascii="Atkinson Hyperlegible" w:hAnsi="Atkinson Hyperlegible" w:cs="Arial"/>
              </w:rPr>
              <w:t xml:space="preserve"> being</w:t>
            </w:r>
            <w:r w:rsidRPr="00E92B57">
              <w:rPr>
                <w:rFonts w:ascii="Atkinson Hyperlegible" w:hAnsi="Atkinson Hyperlegible" w:cs="Arial"/>
              </w:rPr>
              <w:t xml:space="preserve"> taken in relation to mitigating risk. Assurances relating to this area of activity is presented to the P&amp;Q subgroup each quarter for oversight and monitoring by </w:t>
            </w:r>
            <w:r w:rsidR="001B4292">
              <w:rPr>
                <w:rFonts w:ascii="Atkinson Hyperlegible" w:hAnsi="Atkinson Hyperlegible" w:cs="Arial"/>
              </w:rPr>
              <w:t>the multi-agency</w:t>
            </w:r>
            <w:r w:rsidRPr="00E92B57">
              <w:rPr>
                <w:rFonts w:ascii="Atkinson Hyperlegible" w:hAnsi="Atkinson Hyperlegible" w:cs="Arial"/>
              </w:rPr>
              <w:t xml:space="preserve"> safeguarding Board.</w:t>
            </w:r>
          </w:p>
        </w:tc>
      </w:tr>
    </w:tbl>
    <w:p w14:paraId="353AF637" w14:textId="77777777" w:rsidR="00195373" w:rsidRPr="002858FB" w:rsidRDefault="00195373">
      <w:pPr>
        <w:tabs>
          <w:tab w:val="num" w:pos="714"/>
        </w:tabs>
        <w:rPr>
          <w:rFonts w:ascii="Atkinson Hyperlegible" w:hAnsi="Atkinson Hyperlegible" w:cs="Arial"/>
          <w:color w:val="FF0000"/>
        </w:rPr>
      </w:pPr>
    </w:p>
    <w:tbl>
      <w:tblPr>
        <w:tblW w:w="5000" w:type="pct"/>
        <w:tblCellSpacing w:w="11" w:type="dxa"/>
        <w:tblCellMar>
          <w:top w:w="115" w:type="dxa"/>
          <w:left w:w="115" w:type="dxa"/>
          <w:bottom w:w="115" w:type="dxa"/>
          <w:right w:w="115" w:type="dxa"/>
        </w:tblCellMar>
        <w:tblLook w:val="0000" w:firstRow="0" w:lastRow="0" w:firstColumn="0" w:lastColumn="0" w:noHBand="0" w:noVBand="0"/>
      </w:tblPr>
      <w:tblGrid>
        <w:gridCol w:w="699"/>
        <w:gridCol w:w="8636"/>
      </w:tblGrid>
      <w:tr w:rsidR="002858FB" w:rsidRPr="002858FB" w14:paraId="715F3CFE" w14:textId="77777777" w:rsidTr="00EA4B54">
        <w:trPr>
          <w:tblCellSpacing w:w="11" w:type="dxa"/>
        </w:trPr>
        <w:tc>
          <w:tcPr>
            <w:tcW w:w="4976" w:type="pct"/>
            <w:gridSpan w:val="2"/>
          </w:tcPr>
          <w:p w14:paraId="32047DEA" w14:textId="6697ED33" w:rsidR="00195373" w:rsidRPr="00E92B57" w:rsidRDefault="00E92B57">
            <w:pPr>
              <w:pStyle w:val="ReportHead1"/>
              <w:tabs>
                <w:tab w:val="clear" w:pos="360"/>
                <w:tab w:val="num" w:pos="714"/>
              </w:tabs>
              <w:rPr>
                <w:rFonts w:ascii="Atkinson Hyperlegible" w:hAnsi="Atkinson Hyperlegible"/>
                <w:sz w:val="24"/>
                <w:szCs w:val="24"/>
              </w:rPr>
            </w:pPr>
            <w:r>
              <w:rPr>
                <w:rFonts w:ascii="Atkinson Hyperlegible" w:hAnsi="Atkinson Hyperlegible"/>
                <w:sz w:val="24"/>
                <w:szCs w:val="24"/>
              </w:rPr>
              <w:t>Background</w:t>
            </w:r>
          </w:p>
        </w:tc>
      </w:tr>
      <w:tr w:rsidR="00195373" w:rsidRPr="002858FB" w14:paraId="607DB8F0" w14:textId="77777777" w:rsidTr="00E92B57">
        <w:trPr>
          <w:trHeight w:val="319"/>
          <w:tblCellSpacing w:w="11" w:type="dxa"/>
        </w:trPr>
        <w:tc>
          <w:tcPr>
            <w:tcW w:w="357" w:type="pct"/>
          </w:tcPr>
          <w:p w14:paraId="6DB3C4F2" w14:textId="77777777" w:rsidR="00195373" w:rsidRPr="00E92B57" w:rsidRDefault="00195373">
            <w:pPr>
              <w:pStyle w:val="ReportHead2"/>
              <w:keepNext w:val="0"/>
              <w:tabs>
                <w:tab w:val="num" w:pos="714"/>
              </w:tabs>
              <w:rPr>
                <w:rFonts w:ascii="Atkinson Hyperlegible" w:hAnsi="Atkinson Hyperlegible"/>
                <w:szCs w:val="24"/>
              </w:rPr>
            </w:pPr>
          </w:p>
        </w:tc>
        <w:tc>
          <w:tcPr>
            <w:tcW w:w="4607" w:type="pct"/>
          </w:tcPr>
          <w:p w14:paraId="24976EAD" w14:textId="499A58C9" w:rsidR="00E92B57" w:rsidRPr="00E92B57" w:rsidRDefault="00E92B57">
            <w:pPr>
              <w:tabs>
                <w:tab w:val="num" w:pos="714"/>
              </w:tabs>
              <w:rPr>
                <w:rFonts w:ascii="Atkinson Hyperlegible" w:hAnsi="Atkinson Hyperlegible" w:cs="Arial"/>
              </w:rPr>
            </w:pPr>
            <w:r w:rsidRPr="00E92B57">
              <w:rPr>
                <w:rFonts w:ascii="Atkinson Hyperlegible" w:hAnsi="Atkinson Hyperlegible" w:cs="Arial"/>
              </w:rPr>
              <w:t xml:space="preserve">There is a monthly operational Assurance Group, </w:t>
            </w:r>
            <w:r w:rsidR="001B4292">
              <w:rPr>
                <w:rFonts w:ascii="Atkinson Hyperlegible" w:hAnsi="Atkinson Hyperlegible" w:cs="Arial"/>
              </w:rPr>
              <w:t>ch</w:t>
            </w:r>
            <w:r w:rsidRPr="00E92B57">
              <w:rPr>
                <w:rFonts w:ascii="Atkinson Hyperlegible" w:hAnsi="Atkinson Hyperlegible" w:cs="Arial"/>
              </w:rPr>
              <w:t>aired by</w:t>
            </w:r>
            <w:r w:rsidR="001B4292">
              <w:rPr>
                <w:rFonts w:ascii="Atkinson Hyperlegible" w:hAnsi="Atkinson Hyperlegible" w:cs="Arial"/>
              </w:rPr>
              <w:t xml:space="preserve"> the</w:t>
            </w:r>
            <w:r w:rsidRPr="00E92B57">
              <w:rPr>
                <w:rFonts w:ascii="Atkinson Hyperlegible" w:hAnsi="Atkinson Hyperlegible" w:cs="Arial"/>
              </w:rPr>
              <w:t xml:space="preserve"> Strategic Manager for </w:t>
            </w:r>
            <w:r w:rsidR="001B4292">
              <w:rPr>
                <w:rFonts w:ascii="Atkinson Hyperlegible" w:hAnsi="Atkinson Hyperlegible" w:cs="Arial"/>
              </w:rPr>
              <w:t>N</w:t>
            </w:r>
            <w:r w:rsidRPr="00E92B57">
              <w:rPr>
                <w:rFonts w:ascii="Atkinson Hyperlegible" w:hAnsi="Atkinson Hyperlegible" w:cs="Arial"/>
              </w:rPr>
              <w:t>eighbourhoods, which scrutinises individual team performance across neighbourhood and community teams. It is attended by Strategic and Service managers to monitor individual team performance and prioritise team actions.</w:t>
            </w:r>
          </w:p>
        </w:tc>
      </w:tr>
      <w:tr w:rsidR="00E92B57" w:rsidRPr="002858FB" w14:paraId="4AF1A37F" w14:textId="77777777" w:rsidTr="00E92B57">
        <w:trPr>
          <w:trHeight w:val="319"/>
          <w:tblCellSpacing w:w="11" w:type="dxa"/>
        </w:trPr>
        <w:tc>
          <w:tcPr>
            <w:tcW w:w="357" w:type="pct"/>
          </w:tcPr>
          <w:p w14:paraId="2FDC7A1A" w14:textId="77777777" w:rsidR="00E92B57" w:rsidRPr="00E92B57" w:rsidRDefault="00E92B57">
            <w:pPr>
              <w:pStyle w:val="ReportHead2"/>
              <w:keepNext w:val="0"/>
              <w:tabs>
                <w:tab w:val="num" w:pos="714"/>
              </w:tabs>
              <w:rPr>
                <w:rFonts w:ascii="Atkinson Hyperlegible" w:hAnsi="Atkinson Hyperlegible"/>
                <w:szCs w:val="24"/>
              </w:rPr>
            </w:pPr>
          </w:p>
        </w:tc>
        <w:tc>
          <w:tcPr>
            <w:tcW w:w="4607" w:type="pct"/>
          </w:tcPr>
          <w:p w14:paraId="38450585" w14:textId="35139E47" w:rsidR="00E92B57" w:rsidRPr="00E92B57" w:rsidRDefault="00E92B57">
            <w:pPr>
              <w:tabs>
                <w:tab w:val="num" w:pos="714"/>
              </w:tabs>
              <w:rPr>
                <w:rFonts w:ascii="Atkinson Hyperlegible" w:hAnsi="Atkinson Hyperlegible" w:cs="Arial"/>
              </w:rPr>
            </w:pPr>
            <w:r w:rsidRPr="00E92B57">
              <w:rPr>
                <w:rFonts w:ascii="Atkinson Hyperlegible" w:hAnsi="Atkinson Hyperlegible" w:cs="Arial"/>
              </w:rPr>
              <w:t>Validating and monitoring overdue work is a key focus for Advanced Practitioners in teams</w:t>
            </w:r>
            <w:r w:rsidR="001B4292">
              <w:rPr>
                <w:rFonts w:ascii="Atkinson Hyperlegible" w:hAnsi="Atkinson Hyperlegible" w:cs="Arial"/>
              </w:rPr>
              <w:t>.</w:t>
            </w:r>
            <w:r w:rsidRPr="00E92B57">
              <w:rPr>
                <w:rFonts w:ascii="Atkinson Hyperlegible" w:hAnsi="Atkinson Hyperlegible" w:cs="Arial"/>
              </w:rPr>
              <w:t xml:space="preserve"> Service managers and Advanced </w:t>
            </w:r>
            <w:r w:rsidR="001B4292">
              <w:rPr>
                <w:rFonts w:ascii="Atkinson Hyperlegible" w:hAnsi="Atkinson Hyperlegible" w:cs="Arial"/>
              </w:rPr>
              <w:t>P</w:t>
            </w:r>
            <w:r w:rsidRPr="00E92B57">
              <w:rPr>
                <w:rFonts w:ascii="Atkinson Hyperlegible" w:hAnsi="Atkinson Hyperlegible" w:cs="Arial"/>
              </w:rPr>
              <w:t>ractitioners meet regularly to track the most overdue work (365 + and 200-364 days)</w:t>
            </w:r>
            <w:r w:rsidR="001B4292">
              <w:rPr>
                <w:rFonts w:ascii="Atkinson Hyperlegible" w:hAnsi="Atkinson Hyperlegible" w:cs="Arial"/>
              </w:rPr>
              <w:t xml:space="preserve">. </w:t>
            </w:r>
            <w:r w:rsidRPr="00E92B57">
              <w:rPr>
                <w:rFonts w:ascii="Atkinson Hyperlegible" w:hAnsi="Atkinson Hyperlegible" w:cs="Arial"/>
              </w:rPr>
              <w:t>Targets are set and monitored by the Assurance group</w:t>
            </w:r>
            <w:r>
              <w:rPr>
                <w:rFonts w:ascii="Atkinson Hyperlegible" w:hAnsi="Atkinson Hyperlegible" w:cs="Arial"/>
              </w:rPr>
              <w:t>.</w:t>
            </w:r>
            <w:r w:rsidRPr="00E92B57">
              <w:rPr>
                <w:rFonts w:ascii="Atkinson Hyperlegible" w:hAnsi="Atkinson Hyperlegible" w:cs="Arial"/>
              </w:rPr>
              <w:t xml:space="preserve">  </w:t>
            </w:r>
          </w:p>
        </w:tc>
      </w:tr>
      <w:tr w:rsidR="00E92B57" w:rsidRPr="002858FB" w14:paraId="400E26BF" w14:textId="77777777" w:rsidTr="00E92B57">
        <w:trPr>
          <w:trHeight w:val="319"/>
          <w:tblCellSpacing w:w="11" w:type="dxa"/>
        </w:trPr>
        <w:tc>
          <w:tcPr>
            <w:tcW w:w="357" w:type="pct"/>
          </w:tcPr>
          <w:p w14:paraId="41D60C37" w14:textId="77777777" w:rsidR="00E92B57" w:rsidRPr="00E92B57" w:rsidRDefault="00E92B57">
            <w:pPr>
              <w:pStyle w:val="ReportHead2"/>
              <w:keepNext w:val="0"/>
              <w:tabs>
                <w:tab w:val="num" w:pos="714"/>
              </w:tabs>
              <w:rPr>
                <w:rFonts w:ascii="Atkinson Hyperlegible" w:hAnsi="Atkinson Hyperlegible"/>
                <w:szCs w:val="24"/>
              </w:rPr>
            </w:pPr>
          </w:p>
        </w:tc>
        <w:tc>
          <w:tcPr>
            <w:tcW w:w="4607" w:type="pct"/>
          </w:tcPr>
          <w:p w14:paraId="4B9F79BD" w14:textId="23FDD15F" w:rsidR="00E92B57" w:rsidRPr="00E92B57" w:rsidRDefault="00E92B57">
            <w:pPr>
              <w:tabs>
                <w:tab w:val="num" w:pos="714"/>
              </w:tabs>
              <w:rPr>
                <w:rFonts w:ascii="Atkinson Hyperlegible" w:hAnsi="Atkinson Hyperlegible" w:cs="Arial"/>
              </w:rPr>
            </w:pPr>
            <w:r>
              <w:rPr>
                <w:rFonts w:ascii="Atkinson Hyperlegible" w:hAnsi="Atkinson Hyperlegible" w:cs="Arial"/>
              </w:rPr>
              <w:t>Each neighbourhood team holds a data day every 3 months to review waiting lists. This involves every team member being office based for the day and working in small groups they contact individuals on the waiting lists to check in with them and reprioritise the assessment request if necessary. These events ensure that people waiting an assessment are appropriately prioritised and any immediate action to meet their needs can be undertaken. It also removes individuals from the waiting list if their circumstances have changed.</w:t>
            </w:r>
          </w:p>
        </w:tc>
      </w:tr>
      <w:tr w:rsidR="00E92B57" w:rsidRPr="002858FB" w14:paraId="73D4C005" w14:textId="77777777" w:rsidTr="00E92B57">
        <w:trPr>
          <w:trHeight w:val="319"/>
          <w:tblCellSpacing w:w="11" w:type="dxa"/>
        </w:trPr>
        <w:tc>
          <w:tcPr>
            <w:tcW w:w="357" w:type="pct"/>
          </w:tcPr>
          <w:p w14:paraId="66D4A9BE" w14:textId="77777777" w:rsidR="00E92B57" w:rsidRPr="00E92B57" w:rsidRDefault="00E92B57">
            <w:pPr>
              <w:pStyle w:val="ReportHead2"/>
              <w:keepNext w:val="0"/>
              <w:tabs>
                <w:tab w:val="num" w:pos="714"/>
              </w:tabs>
              <w:rPr>
                <w:rFonts w:ascii="Atkinson Hyperlegible" w:hAnsi="Atkinson Hyperlegible"/>
                <w:szCs w:val="24"/>
              </w:rPr>
            </w:pPr>
          </w:p>
        </w:tc>
        <w:tc>
          <w:tcPr>
            <w:tcW w:w="4607" w:type="pct"/>
          </w:tcPr>
          <w:p w14:paraId="0780D0BE" w14:textId="452CA13C" w:rsidR="00E92B57" w:rsidRDefault="00E92B57">
            <w:pPr>
              <w:tabs>
                <w:tab w:val="num" w:pos="714"/>
              </w:tabs>
              <w:rPr>
                <w:rFonts w:ascii="Atkinson Hyperlegible" w:hAnsi="Atkinson Hyperlegible" w:cs="Arial"/>
              </w:rPr>
            </w:pPr>
            <w:r>
              <w:rPr>
                <w:rFonts w:ascii="Atkinson Hyperlegible" w:hAnsi="Atkinson Hyperlegible" w:cs="Arial"/>
              </w:rPr>
              <w:t>In addition</w:t>
            </w:r>
            <w:r w:rsidR="001E512C">
              <w:rPr>
                <w:rFonts w:ascii="Atkinson Hyperlegible" w:hAnsi="Atkinson Hyperlegible" w:cs="Arial"/>
              </w:rPr>
              <w:t>,</w:t>
            </w:r>
            <w:r>
              <w:rPr>
                <w:rFonts w:ascii="Atkinson Hyperlegible" w:hAnsi="Atkinson Hyperlegible" w:cs="Arial"/>
              </w:rPr>
              <w:t xml:space="preserve"> Business </w:t>
            </w:r>
            <w:r w:rsidR="001B4292">
              <w:rPr>
                <w:rFonts w:ascii="Atkinson Hyperlegible" w:hAnsi="Atkinson Hyperlegible" w:cs="Arial"/>
              </w:rPr>
              <w:t>S</w:t>
            </w:r>
            <w:r>
              <w:rPr>
                <w:rFonts w:ascii="Atkinson Hyperlegible" w:hAnsi="Atkinson Hyperlegible" w:cs="Arial"/>
              </w:rPr>
              <w:t>upport teams now mirror the Neighbourhood teams in formation and each business support team undertakes data cleansing within Eclipse (</w:t>
            </w:r>
            <w:r w:rsidR="001B4292">
              <w:rPr>
                <w:rFonts w:ascii="Atkinson Hyperlegible" w:hAnsi="Atkinson Hyperlegible" w:cs="Arial"/>
              </w:rPr>
              <w:t xml:space="preserve">the Adult Social Care </w:t>
            </w:r>
            <w:r>
              <w:rPr>
                <w:rFonts w:ascii="Atkinson Hyperlegible" w:hAnsi="Atkinson Hyperlegible" w:cs="Arial"/>
              </w:rPr>
              <w:t>case record system.)</w:t>
            </w:r>
          </w:p>
        </w:tc>
      </w:tr>
      <w:tr w:rsidR="00E92B57" w:rsidRPr="002858FB" w14:paraId="182AE63D" w14:textId="77777777" w:rsidTr="00E92B57">
        <w:trPr>
          <w:trHeight w:val="319"/>
          <w:tblCellSpacing w:w="11" w:type="dxa"/>
        </w:trPr>
        <w:tc>
          <w:tcPr>
            <w:tcW w:w="357" w:type="pct"/>
          </w:tcPr>
          <w:p w14:paraId="534EC38F" w14:textId="77777777" w:rsidR="00E92B57" w:rsidRPr="00E92B57" w:rsidRDefault="00E92B57" w:rsidP="00C171E4">
            <w:pPr>
              <w:pStyle w:val="ReportHead2"/>
              <w:keepNext w:val="0"/>
              <w:numPr>
                <w:ilvl w:val="0"/>
                <w:numId w:val="0"/>
              </w:numPr>
              <w:ind w:left="357"/>
              <w:rPr>
                <w:rFonts w:ascii="Atkinson Hyperlegible" w:hAnsi="Atkinson Hyperlegible"/>
                <w:szCs w:val="24"/>
              </w:rPr>
            </w:pPr>
          </w:p>
        </w:tc>
        <w:tc>
          <w:tcPr>
            <w:tcW w:w="4607" w:type="pct"/>
          </w:tcPr>
          <w:p w14:paraId="0FB11979" w14:textId="77777777" w:rsidR="00E92B57" w:rsidRDefault="00E92B57">
            <w:pPr>
              <w:tabs>
                <w:tab w:val="num" w:pos="714"/>
              </w:tabs>
              <w:rPr>
                <w:rFonts w:ascii="Atkinson Hyperlegible" w:hAnsi="Atkinson Hyperlegible" w:cs="Arial"/>
              </w:rPr>
            </w:pPr>
          </w:p>
        </w:tc>
      </w:tr>
    </w:tbl>
    <w:p w14:paraId="207C19F0" w14:textId="77777777" w:rsidR="00195373" w:rsidRPr="0065187F" w:rsidRDefault="00195373">
      <w:pPr>
        <w:tabs>
          <w:tab w:val="num" w:pos="714"/>
        </w:tabs>
        <w:rPr>
          <w:rFonts w:ascii="Atkinson Hyperlegible" w:hAnsi="Atkinson Hyperlegible" w:cs="Arial"/>
        </w:rPr>
      </w:pPr>
    </w:p>
    <w:tbl>
      <w:tblPr>
        <w:tblW w:w="5000" w:type="pct"/>
        <w:tblCellSpacing w:w="11" w:type="dxa"/>
        <w:tblCellMar>
          <w:top w:w="115" w:type="dxa"/>
          <w:left w:w="115" w:type="dxa"/>
          <w:bottom w:w="115" w:type="dxa"/>
          <w:right w:w="115" w:type="dxa"/>
        </w:tblCellMar>
        <w:tblLook w:val="0000" w:firstRow="0" w:lastRow="0" w:firstColumn="0" w:lastColumn="0" w:noHBand="0" w:noVBand="0"/>
      </w:tblPr>
      <w:tblGrid>
        <w:gridCol w:w="955"/>
        <w:gridCol w:w="90"/>
        <w:gridCol w:w="8290"/>
      </w:tblGrid>
      <w:tr w:rsidR="0065187F" w:rsidRPr="0065187F" w14:paraId="7ECBEDB5" w14:textId="77777777" w:rsidTr="00257266">
        <w:trPr>
          <w:tblCellSpacing w:w="11" w:type="dxa"/>
        </w:trPr>
        <w:tc>
          <w:tcPr>
            <w:tcW w:w="4976" w:type="pct"/>
            <w:gridSpan w:val="3"/>
          </w:tcPr>
          <w:p w14:paraId="53FBD29F" w14:textId="175CAD2A" w:rsidR="00195373" w:rsidRPr="0065187F" w:rsidRDefault="00A40FDF" w:rsidP="008F5D90">
            <w:pPr>
              <w:pStyle w:val="ReportHead1"/>
              <w:tabs>
                <w:tab w:val="clear" w:pos="360"/>
                <w:tab w:val="num" w:pos="714"/>
              </w:tabs>
              <w:rPr>
                <w:rFonts w:ascii="Atkinson Hyperlegible" w:hAnsi="Atkinson Hyperlegible"/>
                <w:sz w:val="24"/>
                <w:szCs w:val="24"/>
              </w:rPr>
            </w:pPr>
            <w:r>
              <w:rPr>
                <w:rFonts w:ascii="Atkinson Hyperlegible" w:hAnsi="Atkinson Hyperlegible"/>
                <w:sz w:val="24"/>
                <w:szCs w:val="24"/>
              </w:rPr>
              <w:lastRenderedPageBreak/>
              <w:t>Overdue Assessments</w:t>
            </w:r>
            <w:r w:rsidR="00F255AC">
              <w:rPr>
                <w:rFonts w:ascii="Atkinson Hyperlegible" w:hAnsi="Atkinson Hyperlegible"/>
                <w:sz w:val="24"/>
                <w:szCs w:val="24"/>
              </w:rPr>
              <w:t>: Current performance</w:t>
            </w:r>
          </w:p>
        </w:tc>
      </w:tr>
      <w:tr w:rsidR="0065187F" w:rsidRPr="0065187F" w14:paraId="4233C6A9" w14:textId="77777777" w:rsidTr="005E4608">
        <w:trPr>
          <w:trHeight w:val="319"/>
          <w:tblCellSpacing w:w="11" w:type="dxa"/>
        </w:trPr>
        <w:tc>
          <w:tcPr>
            <w:tcW w:w="499" w:type="pct"/>
          </w:tcPr>
          <w:p w14:paraId="706B31B0" w14:textId="77777777" w:rsidR="00195373" w:rsidRPr="0065187F" w:rsidRDefault="00195373">
            <w:pPr>
              <w:pStyle w:val="ReportHead2"/>
              <w:keepNext w:val="0"/>
              <w:tabs>
                <w:tab w:val="num" w:pos="714"/>
              </w:tabs>
              <w:rPr>
                <w:rFonts w:ascii="Atkinson Hyperlegible" w:hAnsi="Atkinson Hyperlegible"/>
                <w:szCs w:val="24"/>
              </w:rPr>
            </w:pPr>
          </w:p>
        </w:tc>
        <w:tc>
          <w:tcPr>
            <w:tcW w:w="4466" w:type="pct"/>
            <w:gridSpan w:val="2"/>
          </w:tcPr>
          <w:p w14:paraId="5B5E0D5E" w14:textId="1D9ABD7D" w:rsidR="00195373" w:rsidRPr="0065187F" w:rsidRDefault="00E92B57" w:rsidP="007E70CB">
            <w:pPr>
              <w:tabs>
                <w:tab w:val="num" w:pos="714"/>
              </w:tabs>
              <w:rPr>
                <w:rFonts w:ascii="Atkinson Hyperlegible" w:hAnsi="Atkinson Hyperlegible" w:cs="Arial"/>
              </w:rPr>
            </w:pPr>
            <w:r w:rsidRPr="0065187F">
              <w:rPr>
                <w:rFonts w:ascii="Atkinson Hyperlegible" w:hAnsi="Atkinson Hyperlegible" w:cs="Arial"/>
              </w:rPr>
              <w:t xml:space="preserve">The </w:t>
            </w:r>
            <w:r w:rsidR="00A43D4B">
              <w:rPr>
                <w:rFonts w:ascii="Atkinson Hyperlegible" w:hAnsi="Atkinson Hyperlegible" w:cs="Arial"/>
              </w:rPr>
              <w:t xml:space="preserve">total </w:t>
            </w:r>
            <w:r w:rsidRPr="0065187F">
              <w:rPr>
                <w:rFonts w:ascii="Atkinson Hyperlegible" w:hAnsi="Atkinson Hyperlegible" w:cs="Arial"/>
              </w:rPr>
              <w:t>number of overdue assessments reduced from 1</w:t>
            </w:r>
            <w:r w:rsidR="001B4292">
              <w:rPr>
                <w:rFonts w:ascii="Atkinson Hyperlegible" w:hAnsi="Atkinson Hyperlegible" w:cs="Arial"/>
              </w:rPr>
              <w:t>,</w:t>
            </w:r>
            <w:r w:rsidRPr="0065187F">
              <w:rPr>
                <w:rFonts w:ascii="Atkinson Hyperlegible" w:hAnsi="Atkinson Hyperlegible" w:cs="Arial"/>
              </w:rPr>
              <w:t xml:space="preserve">730 at the end of October </w:t>
            </w:r>
            <w:r w:rsidR="001B4292">
              <w:rPr>
                <w:rFonts w:ascii="Atkinson Hyperlegible" w:hAnsi="Atkinson Hyperlegible" w:cs="Arial"/>
              </w:rPr>
              <w:t xml:space="preserve">2023 </w:t>
            </w:r>
            <w:r w:rsidRPr="0065187F">
              <w:rPr>
                <w:rFonts w:ascii="Atkinson Hyperlegible" w:hAnsi="Atkinson Hyperlegible" w:cs="Arial"/>
              </w:rPr>
              <w:t>to 1</w:t>
            </w:r>
            <w:r w:rsidR="001B4292">
              <w:rPr>
                <w:rFonts w:ascii="Atkinson Hyperlegible" w:hAnsi="Atkinson Hyperlegible" w:cs="Arial"/>
              </w:rPr>
              <w:t>,</w:t>
            </w:r>
            <w:r w:rsidRPr="0065187F">
              <w:rPr>
                <w:rFonts w:ascii="Atkinson Hyperlegible" w:hAnsi="Atkinson Hyperlegible" w:cs="Arial"/>
              </w:rPr>
              <w:t>610 on 1</w:t>
            </w:r>
            <w:r w:rsidRPr="0065187F">
              <w:rPr>
                <w:rFonts w:ascii="Atkinson Hyperlegible" w:hAnsi="Atkinson Hyperlegible" w:cs="Arial"/>
                <w:vertAlign w:val="superscript"/>
              </w:rPr>
              <w:t>st</w:t>
            </w:r>
            <w:r w:rsidRPr="0065187F">
              <w:rPr>
                <w:rFonts w:ascii="Atkinson Hyperlegible" w:hAnsi="Atkinson Hyperlegible" w:cs="Arial"/>
              </w:rPr>
              <w:t xml:space="preserve"> February</w:t>
            </w:r>
            <w:r w:rsidR="001B4292">
              <w:rPr>
                <w:rFonts w:ascii="Atkinson Hyperlegible" w:hAnsi="Atkinson Hyperlegible" w:cs="Arial"/>
              </w:rPr>
              <w:t xml:space="preserve"> 2024</w:t>
            </w:r>
            <w:r w:rsidRPr="0065187F">
              <w:rPr>
                <w:rFonts w:ascii="Atkinson Hyperlegible" w:hAnsi="Atkinson Hyperlegible" w:cs="Arial"/>
              </w:rPr>
              <w:t>. January</w:t>
            </w:r>
            <w:r w:rsidR="001B4292">
              <w:rPr>
                <w:rFonts w:ascii="Atkinson Hyperlegible" w:hAnsi="Atkinson Hyperlegible" w:cs="Arial"/>
              </w:rPr>
              <w:t xml:space="preserve"> 2024</w:t>
            </w:r>
            <w:r w:rsidRPr="0065187F">
              <w:rPr>
                <w:rFonts w:ascii="Atkinson Hyperlegible" w:hAnsi="Atkinson Hyperlegible" w:cs="Arial"/>
              </w:rPr>
              <w:t xml:space="preserve"> was used by all teams to undertake additional validation exercises closing duplicate work and completing finished worklists in Eclipse records</w:t>
            </w:r>
            <w:r w:rsidR="0065187F" w:rsidRPr="0065187F">
              <w:rPr>
                <w:rFonts w:ascii="Atkinson Hyperlegible" w:hAnsi="Atkinson Hyperlegible" w:cs="Arial"/>
              </w:rPr>
              <w:t>.</w:t>
            </w:r>
            <w:r w:rsidR="00A43D4B">
              <w:rPr>
                <w:rFonts w:ascii="Atkinson Hyperlegible" w:hAnsi="Atkinson Hyperlegible" w:cs="Arial"/>
              </w:rPr>
              <w:t xml:space="preserve"> </w:t>
            </w:r>
          </w:p>
        </w:tc>
      </w:tr>
      <w:tr w:rsidR="002858FB" w:rsidRPr="002858FB" w14:paraId="3BC840D6" w14:textId="77777777" w:rsidTr="005E4608">
        <w:trPr>
          <w:trHeight w:val="319"/>
          <w:tblCellSpacing w:w="11" w:type="dxa"/>
        </w:trPr>
        <w:tc>
          <w:tcPr>
            <w:tcW w:w="499" w:type="pct"/>
          </w:tcPr>
          <w:p w14:paraId="5759105E" w14:textId="77777777" w:rsidR="00195373" w:rsidRPr="00A43D4B" w:rsidRDefault="00195373">
            <w:pPr>
              <w:pStyle w:val="ReportHead2"/>
              <w:keepNext w:val="0"/>
              <w:tabs>
                <w:tab w:val="num" w:pos="714"/>
              </w:tabs>
              <w:rPr>
                <w:rFonts w:ascii="Atkinson Hyperlegible" w:hAnsi="Atkinson Hyperlegible"/>
                <w:szCs w:val="24"/>
              </w:rPr>
            </w:pPr>
          </w:p>
        </w:tc>
        <w:tc>
          <w:tcPr>
            <w:tcW w:w="4466" w:type="pct"/>
            <w:gridSpan w:val="2"/>
          </w:tcPr>
          <w:p w14:paraId="250EAED8" w14:textId="77777777" w:rsidR="00195373" w:rsidRPr="00A43D4B" w:rsidRDefault="00A43D4B" w:rsidP="00E92B57">
            <w:pPr>
              <w:rPr>
                <w:rFonts w:ascii="Atkinson Hyperlegible" w:hAnsi="Atkinson Hyperlegible" w:cs="Arial"/>
                <w:b/>
                <w:bCs/>
                <w:sz w:val="20"/>
                <w:szCs w:val="20"/>
              </w:rPr>
            </w:pPr>
            <w:r w:rsidRPr="00A43D4B">
              <w:rPr>
                <w:rFonts w:ascii="Atkinson Hyperlegible" w:hAnsi="Atkinson Hyperlegible" w:cs="Arial"/>
                <w:b/>
                <w:bCs/>
                <w:sz w:val="20"/>
                <w:szCs w:val="20"/>
              </w:rPr>
              <w:t>Table 1 Overdue Assessments Summary 1</w:t>
            </w:r>
            <w:r w:rsidRPr="00A43D4B">
              <w:rPr>
                <w:rFonts w:ascii="Atkinson Hyperlegible" w:hAnsi="Atkinson Hyperlegible" w:cs="Arial"/>
                <w:b/>
                <w:bCs/>
                <w:sz w:val="20"/>
                <w:szCs w:val="20"/>
                <w:vertAlign w:val="superscript"/>
              </w:rPr>
              <w:t>st</w:t>
            </w:r>
            <w:r w:rsidRPr="00A43D4B">
              <w:rPr>
                <w:rFonts w:ascii="Atkinson Hyperlegible" w:hAnsi="Atkinson Hyperlegible" w:cs="Arial"/>
                <w:b/>
                <w:bCs/>
                <w:sz w:val="20"/>
                <w:szCs w:val="20"/>
              </w:rPr>
              <w:t xml:space="preserve"> February 2024</w:t>
            </w:r>
          </w:p>
          <w:tbl>
            <w:tblPr>
              <w:tblStyle w:val="TableGrid"/>
              <w:tblW w:w="8321" w:type="dxa"/>
              <w:tblLook w:val="04A0" w:firstRow="1" w:lastRow="0" w:firstColumn="1" w:lastColumn="0" w:noHBand="0" w:noVBand="1"/>
            </w:tblPr>
            <w:tblGrid>
              <w:gridCol w:w="2773"/>
              <w:gridCol w:w="2774"/>
              <w:gridCol w:w="2774"/>
            </w:tblGrid>
            <w:tr w:rsidR="00A43D4B" w:rsidRPr="00A43D4B" w14:paraId="5F80F2CE" w14:textId="77777777" w:rsidTr="00A43D4B">
              <w:tc>
                <w:tcPr>
                  <w:tcW w:w="2773" w:type="dxa"/>
                  <w:shd w:val="clear" w:color="auto" w:fill="92D050"/>
                </w:tcPr>
                <w:p w14:paraId="012F2795" w14:textId="77777777" w:rsidR="00A43D4B" w:rsidRPr="00A43D4B" w:rsidRDefault="00A43D4B" w:rsidP="00A43D4B">
                  <w:pPr>
                    <w:rPr>
                      <w:rFonts w:cs="Arial"/>
                    </w:rPr>
                  </w:pPr>
                  <w:r w:rsidRPr="00A43D4B">
                    <w:rPr>
                      <w:rFonts w:cs="Arial"/>
                    </w:rPr>
                    <w:t>Assessment Type</w:t>
                  </w:r>
                </w:p>
              </w:tc>
              <w:tc>
                <w:tcPr>
                  <w:tcW w:w="2774" w:type="dxa"/>
                  <w:shd w:val="clear" w:color="auto" w:fill="92D050"/>
                </w:tcPr>
                <w:p w14:paraId="090E2BF1" w14:textId="77777777" w:rsidR="00A43D4B" w:rsidRPr="00A43D4B" w:rsidRDefault="00A43D4B" w:rsidP="00A43D4B">
                  <w:pPr>
                    <w:rPr>
                      <w:rFonts w:cs="Arial"/>
                    </w:rPr>
                  </w:pPr>
                  <w:r w:rsidRPr="00A43D4B">
                    <w:rPr>
                      <w:rFonts w:cs="Arial"/>
                    </w:rPr>
                    <w:t>Number of Overdue Assessments</w:t>
                  </w:r>
                </w:p>
              </w:tc>
              <w:tc>
                <w:tcPr>
                  <w:tcW w:w="2774" w:type="dxa"/>
                  <w:shd w:val="clear" w:color="auto" w:fill="92D050"/>
                </w:tcPr>
                <w:p w14:paraId="7FB8617D" w14:textId="77777777" w:rsidR="00A43D4B" w:rsidRPr="00A43D4B" w:rsidRDefault="00A43D4B" w:rsidP="00A43D4B">
                  <w:pPr>
                    <w:rPr>
                      <w:rFonts w:cs="Arial"/>
                    </w:rPr>
                  </w:pPr>
                  <w:r w:rsidRPr="00A43D4B">
                    <w:rPr>
                      <w:rFonts w:cs="Arial"/>
                    </w:rPr>
                    <w:t>Variance on Last Quarter</w:t>
                  </w:r>
                </w:p>
              </w:tc>
            </w:tr>
            <w:tr w:rsidR="00A43D4B" w:rsidRPr="00A43D4B" w14:paraId="4AF36892" w14:textId="77777777" w:rsidTr="00A43D4B">
              <w:tc>
                <w:tcPr>
                  <w:tcW w:w="2773" w:type="dxa"/>
                </w:tcPr>
                <w:p w14:paraId="70EFAAC4" w14:textId="77777777" w:rsidR="00A43D4B" w:rsidRPr="00A43D4B" w:rsidRDefault="00A43D4B" w:rsidP="00A43D4B">
                  <w:pPr>
                    <w:rPr>
                      <w:rFonts w:ascii="Microsoft New Tai Lue" w:hAnsi="Microsoft New Tai Lue" w:cs="Microsoft New Tai Lue"/>
                      <w:sz w:val="26"/>
                      <w:szCs w:val="26"/>
                      <w:lang w:eastAsia="en-GB"/>
                    </w:rPr>
                  </w:pPr>
                  <w:r w:rsidRPr="00A43D4B">
                    <w:rPr>
                      <w:rFonts w:ascii="Microsoft New Tai Lue" w:hAnsi="Microsoft New Tai Lue" w:cs="Microsoft New Tai Lue"/>
                      <w:sz w:val="26"/>
                      <w:szCs w:val="26"/>
                      <w:lang w:eastAsia="en-GB"/>
                    </w:rPr>
                    <w:t>Care Act Assessment</w:t>
                  </w:r>
                </w:p>
                <w:p w14:paraId="35770A8E" w14:textId="77777777" w:rsidR="00A43D4B" w:rsidRPr="00A43D4B" w:rsidRDefault="00A43D4B" w:rsidP="00A43D4B">
                  <w:pPr>
                    <w:rPr>
                      <w:rFonts w:cs="Arial"/>
                    </w:rPr>
                  </w:pPr>
                </w:p>
              </w:tc>
              <w:tc>
                <w:tcPr>
                  <w:tcW w:w="2774" w:type="dxa"/>
                </w:tcPr>
                <w:p w14:paraId="32DCAC0C" w14:textId="77777777" w:rsidR="00A43D4B" w:rsidRPr="00A43D4B" w:rsidRDefault="00A43D4B" w:rsidP="00A43D4B">
                  <w:pPr>
                    <w:rPr>
                      <w:rFonts w:cs="Arial"/>
                    </w:rPr>
                  </w:pPr>
                  <w:r w:rsidRPr="00A43D4B">
                    <w:rPr>
                      <w:rFonts w:cs="Arial"/>
                    </w:rPr>
                    <w:t>899</w:t>
                  </w:r>
                </w:p>
              </w:tc>
              <w:tc>
                <w:tcPr>
                  <w:tcW w:w="2774" w:type="dxa"/>
                </w:tcPr>
                <w:p w14:paraId="56C1269E" w14:textId="77777777" w:rsidR="00A43D4B" w:rsidRPr="00A43D4B" w:rsidRDefault="00A43D4B" w:rsidP="00A43D4B">
                  <w:pPr>
                    <w:rPr>
                      <w:rFonts w:cs="Arial"/>
                    </w:rPr>
                  </w:pPr>
                  <w:r w:rsidRPr="00A43D4B">
                    <w:rPr>
                      <w:rFonts w:ascii="Microsoft New Tai Lue" w:hAnsi="Microsoft New Tai Lue" w:cs="Microsoft New Tai Lue"/>
                      <w:noProof/>
                      <w:sz w:val="26"/>
                      <w:szCs w:val="26"/>
                      <w:lang w:eastAsia="en-GB"/>
                    </w:rPr>
                    <mc:AlternateContent>
                      <mc:Choice Requires="wps">
                        <w:drawing>
                          <wp:anchor distT="0" distB="0" distL="114300" distR="114300" simplePos="0" relativeHeight="251676672" behindDoc="0" locked="0" layoutInCell="1" allowOverlap="1" wp14:anchorId="7F809EE7" wp14:editId="045D0E2A">
                            <wp:simplePos x="0" y="0"/>
                            <wp:positionH relativeFrom="column">
                              <wp:posOffset>572770</wp:posOffset>
                            </wp:positionH>
                            <wp:positionV relativeFrom="paragraph">
                              <wp:posOffset>-6350</wp:posOffset>
                            </wp:positionV>
                            <wp:extent cx="238125" cy="349250"/>
                            <wp:effectExtent l="19050" t="19050" r="47625" b="12700"/>
                            <wp:wrapNone/>
                            <wp:docPr id="1962120806" name="Arrow: Up 1"/>
                            <wp:cNvGraphicFramePr/>
                            <a:graphic xmlns:a="http://schemas.openxmlformats.org/drawingml/2006/main">
                              <a:graphicData uri="http://schemas.microsoft.com/office/word/2010/wordprocessingShape">
                                <wps:wsp>
                                  <wps:cNvSpPr/>
                                  <wps:spPr>
                                    <a:xfrm>
                                      <a:off x="0" y="0"/>
                                      <a:ext cx="238125" cy="349250"/>
                                    </a:xfrm>
                                    <a:prstGeom prst="up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7E24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 o:spid="_x0000_s1026" type="#_x0000_t68" style="position:absolute;margin-left:45.1pt;margin-top:-.5pt;width:18.75pt;height: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" adj="7364" fillcolor="red" strokecolor="#09101d [484]" strokeweight="1pt"/>
                        </w:pict>
                      </mc:Fallback>
                    </mc:AlternateContent>
                  </w:r>
                  <w:r w:rsidRPr="00A43D4B">
                    <w:rPr>
                      <w:rFonts w:cs="Arial"/>
                    </w:rPr>
                    <w:t xml:space="preserve">865               </w:t>
                  </w:r>
                  <w:proofErr w:type="gramStart"/>
                  <w:r w:rsidRPr="00A43D4B">
                    <w:rPr>
                      <w:rFonts w:cs="Arial"/>
                    </w:rPr>
                    <w:t xml:space="preserve">   </w:t>
                  </w:r>
                  <w:r w:rsidRPr="00D47785">
                    <w:rPr>
                      <w:rFonts w:cs="Arial"/>
                      <w:color w:val="FF0000"/>
                    </w:rPr>
                    <w:t>(</w:t>
                  </w:r>
                  <w:proofErr w:type="gramEnd"/>
                  <w:r w:rsidRPr="00D47785">
                    <w:rPr>
                      <w:rFonts w:cs="Arial"/>
                      <w:color w:val="FF0000"/>
                    </w:rPr>
                    <w:t>+34)</w:t>
                  </w:r>
                </w:p>
              </w:tc>
            </w:tr>
            <w:tr w:rsidR="00A43D4B" w:rsidRPr="00A43D4B" w14:paraId="4506823B" w14:textId="77777777" w:rsidTr="00A43D4B">
              <w:tc>
                <w:tcPr>
                  <w:tcW w:w="2773" w:type="dxa"/>
                </w:tcPr>
                <w:p w14:paraId="76FF7577" w14:textId="77777777" w:rsidR="00A43D4B" w:rsidRPr="00A43D4B" w:rsidRDefault="00A43D4B" w:rsidP="00A43D4B">
                  <w:pPr>
                    <w:rPr>
                      <w:rFonts w:ascii="Microsoft New Tai Lue" w:hAnsi="Microsoft New Tai Lue" w:cs="Microsoft New Tai Lue"/>
                      <w:sz w:val="26"/>
                      <w:szCs w:val="26"/>
                      <w:lang w:eastAsia="en-GB"/>
                    </w:rPr>
                  </w:pPr>
                  <w:r w:rsidRPr="00A43D4B">
                    <w:rPr>
                      <w:rFonts w:ascii="Microsoft New Tai Lue" w:hAnsi="Microsoft New Tai Lue" w:cs="Microsoft New Tai Lue"/>
                      <w:sz w:val="26"/>
                      <w:szCs w:val="26"/>
                      <w:lang w:eastAsia="en-GB"/>
                    </w:rPr>
                    <w:t>Carer's Assessment</w:t>
                  </w:r>
                </w:p>
                <w:p w14:paraId="414A3A8F" w14:textId="77777777" w:rsidR="00A43D4B" w:rsidRPr="00A43D4B" w:rsidRDefault="00A43D4B" w:rsidP="00A43D4B">
                  <w:pPr>
                    <w:rPr>
                      <w:rFonts w:cs="Arial"/>
                    </w:rPr>
                  </w:pPr>
                </w:p>
              </w:tc>
              <w:tc>
                <w:tcPr>
                  <w:tcW w:w="2774" w:type="dxa"/>
                </w:tcPr>
                <w:p w14:paraId="57B5622E" w14:textId="77777777" w:rsidR="00A43D4B" w:rsidRPr="00A43D4B" w:rsidRDefault="00A43D4B" w:rsidP="00A43D4B">
                  <w:pPr>
                    <w:rPr>
                      <w:rFonts w:cs="Arial"/>
                    </w:rPr>
                  </w:pPr>
                  <w:r w:rsidRPr="00A43D4B">
                    <w:rPr>
                      <w:rFonts w:cs="Arial"/>
                    </w:rPr>
                    <w:t>159</w:t>
                  </w:r>
                </w:p>
              </w:tc>
              <w:tc>
                <w:tcPr>
                  <w:tcW w:w="2774" w:type="dxa"/>
                  <w:vAlign w:val="center"/>
                </w:tcPr>
                <w:p w14:paraId="64845D91" w14:textId="2615BA94" w:rsidR="00A43D4B" w:rsidRPr="00A43D4B" w:rsidRDefault="00A43D4B" w:rsidP="00A43D4B">
                  <w:pPr>
                    <w:rPr>
                      <w:rFonts w:cs="Arial"/>
                    </w:rPr>
                  </w:pPr>
                  <w:r w:rsidRPr="00A43D4B">
                    <w:rPr>
                      <w:rFonts w:ascii="Microsoft New Tai Lue" w:hAnsi="Microsoft New Tai Lue" w:cs="Microsoft New Tai Lue"/>
                      <w:noProof/>
                      <w:sz w:val="26"/>
                      <w:szCs w:val="26"/>
                      <w:lang w:eastAsia="en-GB"/>
                    </w:rPr>
                    <mc:AlternateContent>
                      <mc:Choice Requires="wps">
                        <w:drawing>
                          <wp:anchor distT="0" distB="0" distL="114300" distR="114300" simplePos="0" relativeHeight="251677696" behindDoc="0" locked="0" layoutInCell="1" allowOverlap="1" wp14:anchorId="00F519AF" wp14:editId="55E6F96F">
                            <wp:simplePos x="0" y="0"/>
                            <wp:positionH relativeFrom="column">
                              <wp:posOffset>574040</wp:posOffset>
                            </wp:positionH>
                            <wp:positionV relativeFrom="paragraph">
                              <wp:posOffset>-17145</wp:posOffset>
                            </wp:positionV>
                            <wp:extent cx="238125" cy="349250"/>
                            <wp:effectExtent l="19050" t="19050" r="47625" b="12700"/>
                            <wp:wrapNone/>
                            <wp:docPr id="971740803" name="Arrow: Up 1"/>
                            <wp:cNvGraphicFramePr/>
                            <a:graphic xmlns:a="http://schemas.openxmlformats.org/drawingml/2006/main">
                              <a:graphicData uri="http://schemas.microsoft.com/office/word/2010/wordprocessingShape">
                                <wps:wsp>
                                  <wps:cNvSpPr/>
                                  <wps:spPr>
                                    <a:xfrm>
                                      <a:off x="0" y="0"/>
                                      <a:ext cx="238125" cy="349250"/>
                                    </a:xfrm>
                                    <a:prstGeom prst="up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AC6CB" id="Arrow: Up 1" o:spid="_x0000_s1026" type="#_x0000_t68" style="position:absolute;margin-left:45.2pt;margin-top:-1.35pt;width:18.75pt;height: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" adj="7364" fillcolor="red" strokecolor="#09101d [484]" strokeweight="1pt"/>
                        </w:pict>
                      </mc:Fallback>
                    </mc:AlternateContent>
                  </w:r>
                  <w:r w:rsidRPr="00A43D4B">
                    <w:rPr>
                      <w:rFonts w:ascii="Microsoft New Tai Lue" w:hAnsi="Microsoft New Tai Lue" w:cs="Microsoft New Tai Lue"/>
                      <w:sz w:val="26"/>
                      <w:szCs w:val="26"/>
                      <w:lang w:eastAsia="en-GB"/>
                    </w:rPr>
                    <w:t xml:space="preserve">140             </w:t>
                  </w:r>
                  <w:proofErr w:type="gramStart"/>
                  <w:r w:rsidRPr="00A43D4B">
                    <w:rPr>
                      <w:rFonts w:ascii="Microsoft New Tai Lue" w:hAnsi="Microsoft New Tai Lue" w:cs="Microsoft New Tai Lue"/>
                      <w:sz w:val="26"/>
                      <w:szCs w:val="26"/>
                      <w:lang w:eastAsia="en-GB"/>
                    </w:rPr>
                    <w:t xml:space="preserve">   </w:t>
                  </w:r>
                  <w:r w:rsidRPr="00D47785">
                    <w:rPr>
                      <w:rFonts w:ascii="Microsoft New Tai Lue" w:hAnsi="Microsoft New Tai Lue" w:cs="Microsoft New Tai Lue"/>
                      <w:color w:val="FF0000"/>
                      <w:sz w:val="26"/>
                      <w:szCs w:val="26"/>
                      <w:lang w:eastAsia="en-GB"/>
                    </w:rPr>
                    <w:t>(</w:t>
                  </w:r>
                  <w:proofErr w:type="gramEnd"/>
                  <w:r w:rsidR="005D3DFB" w:rsidRPr="00D47785">
                    <w:rPr>
                      <w:rFonts w:ascii="Microsoft New Tai Lue" w:hAnsi="Microsoft New Tai Lue" w:cs="Microsoft New Tai Lue"/>
                      <w:color w:val="FF0000"/>
                      <w:sz w:val="26"/>
                      <w:szCs w:val="26"/>
                      <w:lang w:eastAsia="en-GB"/>
                    </w:rPr>
                    <w:t>+</w:t>
                  </w:r>
                  <w:r w:rsidRPr="00D47785">
                    <w:rPr>
                      <w:rFonts w:ascii="Microsoft New Tai Lue" w:hAnsi="Microsoft New Tai Lue" w:cs="Microsoft New Tai Lue"/>
                      <w:color w:val="FF0000"/>
                      <w:sz w:val="26"/>
                      <w:szCs w:val="26"/>
                      <w:lang w:eastAsia="en-GB"/>
                    </w:rPr>
                    <w:t>19)</w:t>
                  </w:r>
                </w:p>
              </w:tc>
            </w:tr>
            <w:tr w:rsidR="00A43D4B" w:rsidRPr="00A43D4B" w14:paraId="0C82FE46" w14:textId="77777777" w:rsidTr="00A43D4B">
              <w:tc>
                <w:tcPr>
                  <w:tcW w:w="2773" w:type="dxa"/>
                </w:tcPr>
                <w:p w14:paraId="25BEE342" w14:textId="77777777" w:rsidR="00A43D4B" w:rsidRPr="00A43D4B" w:rsidRDefault="00A43D4B" w:rsidP="00A43D4B">
                  <w:pPr>
                    <w:rPr>
                      <w:rFonts w:cs="Arial"/>
                    </w:rPr>
                  </w:pPr>
                  <w:r w:rsidRPr="00A43D4B">
                    <w:rPr>
                      <w:rFonts w:ascii="Microsoft New Tai Lue" w:hAnsi="Microsoft New Tai Lue" w:cs="Microsoft New Tai Lue"/>
                      <w:sz w:val="26"/>
                      <w:szCs w:val="26"/>
                      <w:lang w:eastAsia="en-GB"/>
                    </w:rPr>
                    <w:t>Mental Capacity Assessment</w:t>
                  </w:r>
                </w:p>
              </w:tc>
              <w:tc>
                <w:tcPr>
                  <w:tcW w:w="2774" w:type="dxa"/>
                </w:tcPr>
                <w:p w14:paraId="27211BF1" w14:textId="77777777" w:rsidR="00A43D4B" w:rsidRPr="00A43D4B" w:rsidRDefault="00A43D4B" w:rsidP="00A43D4B">
                  <w:pPr>
                    <w:rPr>
                      <w:rFonts w:cs="Arial"/>
                    </w:rPr>
                  </w:pPr>
                  <w:r w:rsidRPr="00A43D4B">
                    <w:rPr>
                      <w:rFonts w:cs="Arial"/>
                    </w:rPr>
                    <w:t>56</w:t>
                  </w:r>
                </w:p>
              </w:tc>
              <w:tc>
                <w:tcPr>
                  <w:tcW w:w="2774" w:type="dxa"/>
                </w:tcPr>
                <w:p w14:paraId="3C39B289" w14:textId="77777777" w:rsidR="00A43D4B" w:rsidRPr="00A43D4B" w:rsidRDefault="00A43D4B" w:rsidP="00A43D4B">
                  <w:pPr>
                    <w:rPr>
                      <w:rFonts w:cs="Arial"/>
                    </w:rPr>
                  </w:pPr>
                  <w:r w:rsidRPr="00A43D4B">
                    <w:rPr>
                      <w:rFonts w:ascii="Microsoft New Tai Lue" w:hAnsi="Microsoft New Tai Lue" w:cs="Microsoft New Tai Lue"/>
                      <w:noProof/>
                      <w:sz w:val="26"/>
                      <w:szCs w:val="26"/>
                      <w:lang w:eastAsia="en-GB"/>
                    </w:rPr>
                    <mc:AlternateContent>
                      <mc:Choice Requires="wps">
                        <w:drawing>
                          <wp:anchor distT="0" distB="0" distL="114300" distR="114300" simplePos="0" relativeHeight="251678720" behindDoc="0" locked="0" layoutInCell="1" allowOverlap="1" wp14:anchorId="18FBED45" wp14:editId="13CA3C1F">
                            <wp:simplePos x="0" y="0"/>
                            <wp:positionH relativeFrom="column">
                              <wp:posOffset>538480</wp:posOffset>
                            </wp:positionH>
                            <wp:positionV relativeFrom="paragraph">
                              <wp:posOffset>55880</wp:posOffset>
                            </wp:positionV>
                            <wp:extent cx="304800" cy="320675"/>
                            <wp:effectExtent l="19050" t="0" r="19050" b="41275"/>
                            <wp:wrapNone/>
                            <wp:docPr id="788634258" name="Arrow: Down 2"/>
                            <wp:cNvGraphicFramePr/>
                            <a:graphic xmlns:a="http://schemas.openxmlformats.org/drawingml/2006/main">
                              <a:graphicData uri="http://schemas.microsoft.com/office/word/2010/wordprocessingShape">
                                <wps:wsp>
                                  <wps:cNvSpPr/>
                                  <wps:spPr>
                                    <a:xfrm>
                                      <a:off x="0" y="0"/>
                                      <a:ext cx="304800" cy="320675"/>
                                    </a:xfrm>
                                    <a:prstGeom prst="downArrow">
                                      <a:avLst>
                                        <a:gd name="adj1" fmla="val 29311"/>
                                        <a:gd name="adj2" fmla="val 50000"/>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02F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42.4pt;margin-top:4.4pt;width:24pt;height:2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" adj="11335,7634" fillcolor="#70ad47 [3209]" strokecolor="#10190a [489]" strokeweight="1pt"/>
                        </w:pict>
                      </mc:Fallback>
                    </mc:AlternateContent>
                  </w:r>
                  <w:r w:rsidRPr="00A43D4B">
                    <w:rPr>
                      <w:rFonts w:ascii="Microsoft New Tai Lue" w:hAnsi="Microsoft New Tai Lue" w:cs="Microsoft New Tai Lue"/>
                      <w:sz w:val="26"/>
                      <w:szCs w:val="26"/>
                      <w:lang w:eastAsia="en-GB"/>
                    </w:rPr>
                    <w:t xml:space="preserve">76               </w:t>
                  </w:r>
                  <w:proofErr w:type="gramStart"/>
                  <w:r w:rsidRPr="00A43D4B">
                    <w:rPr>
                      <w:rFonts w:ascii="Microsoft New Tai Lue" w:hAnsi="Microsoft New Tai Lue" w:cs="Microsoft New Tai Lue"/>
                      <w:sz w:val="26"/>
                      <w:szCs w:val="26"/>
                      <w:lang w:eastAsia="en-GB"/>
                    </w:rPr>
                    <w:t xml:space="preserve">   </w:t>
                  </w:r>
                  <w:r w:rsidRPr="00D47785">
                    <w:rPr>
                      <w:rFonts w:ascii="Microsoft New Tai Lue" w:hAnsi="Microsoft New Tai Lue" w:cs="Microsoft New Tai Lue"/>
                      <w:color w:val="92D050"/>
                      <w:sz w:val="26"/>
                      <w:szCs w:val="26"/>
                      <w:lang w:eastAsia="en-GB"/>
                    </w:rPr>
                    <w:t>(</w:t>
                  </w:r>
                  <w:proofErr w:type="gramEnd"/>
                  <w:r w:rsidRPr="00D47785">
                    <w:rPr>
                      <w:rFonts w:ascii="Microsoft New Tai Lue" w:hAnsi="Microsoft New Tai Lue" w:cs="Microsoft New Tai Lue"/>
                      <w:color w:val="92D050"/>
                      <w:sz w:val="26"/>
                      <w:szCs w:val="26"/>
                      <w:lang w:eastAsia="en-GB"/>
                    </w:rPr>
                    <w:t>-20)</w:t>
                  </w:r>
                </w:p>
              </w:tc>
            </w:tr>
            <w:tr w:rsidR="00A43D4B" w:rsidRPr="00A43D4B" w14:paraId="58277ED2" w14:textId="77777777" w:rsidTr="00A43D4B">
              <w:tc>
                <w:tcPr>
                  <w:tcW w:w="2773" w:type="dxa"/>
                </w:tcPr>
                <w:p w14:paraId="1861885E" w14:textId="77777777" w:rsidR="00A43D4B" w:rsidRPr="00A43D4B" w:rsidRDefault="00A43D4B" w:rsidP="00A43D4B">
                  <w:pPr>
                    <w:rPr>
                      <w:rFonts w:ascii="Microsoft New Tai Lue" w:hAnsi="Microsoft New Tai Lue" w:cs="Microsoft New Tai Lue"/>
                      <w:sz w:val="26"/>
                      <w:szCs w:val="26"/>
                      <w:lang w:eastAsia="en-GB"/>
                    </w:rPr>
                  </w:pPr>
                  <w:r w:rsidRPr="00A43D4B">
                    <w:rPr>
                      <w:rFonts w:ascii="Microsoft New Tai Lue" w:hAnsi="Microsoft New Tai Lue" w:cs="Microsoft New Tai Lue"/>
                      <w:sz w:val="26"/>
                      <w:szCs w:val="26"/>
                      <w:lang w:eastAsia="en-GB"/>
                    </w:rPr>
                    <w:t>Risk Assessment</w:t>
                  </w:r>
                </w:p>
                <w:p w14:paraId="70B935D1" w14:textId="77777777" w:rsidR="00A43D4B" w:rsidRPr="00A43D4B" w:rsidRDefault="00A43D4B" w:rsidP="00A43D4B">
                  <w:pPr>
                    <w:rPr>
                      <w:rFonts w:cs="Arial"/>
                    </w:rPr>
                  </w:pPr>
                </w:p>
              </w:tc>
              <w:tc>
                <w:tcPr>
                  <w:tcW w:w="2774" w:type="dxa"/>
                </w:tcPr>
                <w:p w14:paraId="0C52918F" w14:textId="77777777" w:rsidR="00A43D4B" w:rsidRPr="00A43D4B" w:rsidRDefault="00A43D4B" w:rsidP="00A43D4B">
                  <w:pPr>
                    <w:rPr>
                      <w:rFonts w:cs="Arial"/>
                    </w:rPr>
                  </w:pPr>
                  <w:r w:rsidRPr="00A43D4B">
                    <w:rPr>
                      <w:rFonts w:cs="Arial"/>
                    </w:rPr>
                    <w:t>43</w:t>
                  </w:r>
                </w:p>
              </w:tc>
              <w:tc>
                <w:tcPr>
                  <w:tcW w:w="2774" w:type="dxa"/>
                </w:tcPr>
                <w:p w14:paraId="56A6CD86" w14:textId="77777777" w:rsidR="00A43D4B" w:rsidRPr="00A43D4B" w:rsidRDefault="00A43D4B" w:rsidP="00A43D4B">
                  <w:pPr>
                    <w:rPr>
                      <w:rFonts w:cs="Arial"/>
                    </w:rPr>
                  </w:pPr>
                  <w:r w:rsidRPr="00A43D4B">
                    <w:rPr>
                      <w:rFonts w:ascii="Microsoft New Tai Lue" w:hAnsi="Microsoft New Tai Lue" w:cs="Microsoft New Tai Lue"/>
                      <w:noProof/>
                      <w:sz w:val="26"/>
                      <w:szCs w:val="26"/>
                      <w:lang w:eastAsia="en-GB"/>
                    </w:rPr>
                    <mc:AlternateContent>
                      <mc:Choice Requires="wps">
                        <w:drawing>
                          <wp:anchor distT="0" distB="0" distL="114300" distR="114300" simplePos="0" relativeHeight="251679744" behindDoc="0" locked="0" layoutInCell="1" allowOverlap="1" wp14:anchorId="507132C0" wp14:editId="21B4C026">
                            <wp:simplePos x="0" y="0"/>
                            <wp:positionH relativeFrom="column">
                              <wp:posOffset>538480</wp:posOffset>
                            </wp:positionH>
                            <wp:positionV relativeFrom="paragraph">
                              <wp:posOffset>55245</wp:posOffset>
                            </wp:positionV>
                            <wp:extent cx="304800" cy="320675"/>
                            <wp:effectExtent l="19050" t="0" r="19050" b="41275"/>
                            <wp:wrapNone/>
                            <wp:docPr id="1468525481" name="Arrow: Down 2"/>
                            <wp:cNvGraphicFramePr/>
                            <a:graphic xmlns:a="http://schemas.openxmlformats.org/drawingml/2006/main">
                              <a:graphicData uri="http://schemas.microsoft.com/office/word/2010/wordprocessingShape">
                                <wps:wsp>
                                  <wps:cNvSpPr/>
                                  <wps:spPr>
                                    <a:xfrm>
                                      <a:off x="0" y="0"/>
                                      <a:ext cx="304800" cy="320675"/>
                                    </a:xfrm>
                                    <a:prstGeom prst="downArrow">
                                      <a:avLst>
                                        <a:gd name="adj1" fmla="val 29311"/>
                                        <a:gd name="adj2" fmla="val 50000"/>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70180" id="Arrow: Down 2" o:spid="_x0000_s1026" type="#_x0000_t67" style="position:absolute;margin-left:42.4pt;margin-top:4.35pt;width:24pt;height:2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" adj="11335,7634" fillcolor="#70ad47 [3209]" strokecolor="#10190a [489]" strokeweight="1pt"/>
                        </w:pict>
                      </mc:Fallback>
                    </mc:AlternateContent>
                  </w:r>
                  <w:r w:rsidRPr="00A43D4B">
                    <w:rPr>
                      <w:rFonts w:ascii="Microsoft New Tai Lue" w:hAnsi="Microsoft New Tai Lue" w:cs="Microsoft New Tai Lue"/>
                      <w:sz w:val="26"/>
                      <w:szCs w:val="26"/>
                      <w:lang w:eastAsia="en-GB"/>
                    </w:rPr>
                    <w:t xml:space="preserve">63               </w:t>
                  </w:r>
                  <w:proofErr w:type="gramStart"/>
                  <w:r w:rsidRPr="00A43D4B">
                    <w:rPr>
                      <w:rFonts w:ascii="Microsoft New Tai Lue" w:hAnsi="Microsoft New Tai Lue" w:cs="Microsoft New Tai Lue"/>
                      <w:sz w:val="26"/>
                      <w:szCs w:val="26"/>
                      <w:lang w:eastAsia="en-GB"/>
                    </w:rPr>
                    <w:t xml:space="preserve">   </w:t>
                  </w:r>
                  <w:r w:rsidRPr="00D47785">
                    <w:rPr>
                      <w:rFonts w:ascii="Microsoft New Tai Lue" w:hAnsi="Microsoft New Tai Lue" w:cs="Microsoft New Tai Lue"/>
                      <w:color w:val="92D050"/>
                      <w:sz w:val="26"/>
                      <w:szCs w:val="26"/>
                      <w:lang w:eastAsia="en-GB"/>
                    </w:rPr>
                    <w:t>(</w:t>
                  </w:r>
                  <w:proofErr w:type="gramEnd"/>
                  <w:r w:rsidRPr="00D47785">
                    <w:rPr>
                      <w:rFonts w:ascii="Microsoft New Tai Lue" w:hAnsi="Microsoft New Tai Lue" w:cs="Microsoft New Tai Lue"/>
                      <w:color w:val="92D050"/>
                      <w:sz w:val="26"/>
                      <w:szCs w:val="26"/>
                      <w:lang w:eastAsia="en-GB"/>
                    </w:rPr>
                    <w:t>-20)</w:t>
                  </w:r>
                </w:p>
              </w:tc>
            </w:tr>
            <w:tr w:rsidR="00A43D4B" w:rsidRPr="00A43D4B" w14:paraId="2BABF91D" w14:textId="77777777" w:rsidTr="00A43D4B">
              <w:tc>
                <w:tcPr>
                  <w:tcW w:w="2773" w:type="dxa"/>
                </w:tcPr>
                <w:p w14:paraId="7E3922C4" w14:textId="77777777" w:rsidR="00A43D4B" w:rsidRPr="00A43D4B" w:rsidRDefault="00A43D4B" w:rsidP="00A43D4B">
                  <w:pPr>
                    <w:rPr>
                      <w:rFonts w:cs="Arial"/>
                    </w:rPr>
                  </w:pPr>
                  <w:r w:rsidRPr="00A43D4B">
                    <w:rPr>
                      <w:rFonts w:ascii="Microsoft New Tai Lue" w:hAnsi="Microsoft New Tai Lue" w:cs="Microsoft New Tai Lue"/>
                      <w:sz w:val="26"/>
                      <w:szCs w:val="26"/>
                      <w:lang w:eastAsia="en-GB"/>
                    </w:rPr>
                    <w:t>Occupational Therapy Assessment</w:t>
                  </w:r>
                </w:p>
              </w:tc>
              <w:tc>
                <w:tcPr>
                  <w:tcW w:w="2774" w:type="dxa"/>
                </w:tcPr>
                <w:p w14:paraId="70F7A94B" w14:textId="77777777" w:rsidR="00A43D4B" w:rsidRPr="00A43D4B" w:rsidRDefault="00A43D4B" w:rsidP="00A43D4B">
                  <w:pPr>
                    <w:rPr>
                      <w:rFonts w:cs="Arial"/>
                    </w:rPr>
                  </w:pPr>
                  <w:r w:rsidRPr="00A43D4B">
                    <w:rPr>
                      <w:rFonts w:cs="Arial"/>
                    </w:rPr>
                    <w:t>453</w:t>
                  </w:r>
                </w:p>
              </w:tc>
              <w:tc>
                <w:tcPr>
                  <w:tcW w:w="2774" w:type="dxa"/>
                </w:tcPr>
                <w:p w14:paraId="68269842" w14:textId="77777777" w:rsidR="00A43D4B" w:rsidRPr="00A43D4B" w:rsidRDefault="00A43D4B" w:rsidP="00A43D4B">
                  <w:pPr>
                    <w:rPr>
                      <w:rFonts w:cs="Arial"/>
                    </w:rPr>
                  </w:pPr>
                  <w:r w:rsidRPr="00A43D4B">
                    <w:rPr>
                      <w:rFonts w:ascii="Microsoft New Tai Lue" w:hAnsi="Microsoft New Tai Lue" w:cs="Microsoft New Tai Lue"/>
                      <w:noProof/>
                      <w:sz w:val="26"/>
                      <w:szCs w:val="26"/>
                      <w:lang w:eastAsia="en-GB"/>
                    </w:rPr>
                    <mc:AlternateContent>
                      <mc:Choice Requires="wps">
                        <w:drawing>
                          <wp:anchor distT="0" distB="0" distL="114300" distR="114300" simplePos="0" relativeHeight="251680768" behindDoc="0" locked="0" layoutInCell="1" allowOverlap="1" wp14:anchorId="2E3C47D3" wp14:editId="599C3135">
                            <wp:simplePos x="0" y="0"/>
                            <wp:positionH relativeFrom="column">
                              <wp:posOffset>538480</wp:posOffset>
                            </wp:positionH>
                            <wp:positionV relativeFrom="paragraph">
                              <wp:posOffset>48260</wp:posOffset>
                            </wp:positionV>
                            <wp:extent cx="304800" cy="320675"/>
                            <wp:effectExtent l="19050" t="0" r="19050" b="41275"/>
                            <wp:wrapNone/>
                            <wp:docPr id="1475857375" name="Arrow: Down 2"/>
                            <wp:cNvGraphicFramePr/>
                            <a:graphic xmlns:a="http://schemas.openxmlformats.org/drawingml/2006/main">
                              <a:graphicData uri="http://schemas.microsoft.com/office/word/2010/wordprocessingShape">
                                <wps:wsp>
                                  <wps:cNvSpPr/>
                                  <wps:spPr>
                                    <a:xfrm>
                                      <a:off x="0" y="0"/>
                                      <a:ext cx="304800" cy="320675"/>
                                    </a:xfrm>
                                    <a:prstGeom prst="downArrow">
                                      <a:avLst>
                                        <a:gd name="adj1" fmla="val 29311"/>
                                        <a:gd name="adj2" fmla="val 50000"/>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A3A4A" id="Arrow: Down 2" o:spid="_x0000_s1026" type="#_x0000_t67" style="position:absolute;margin-left:42.4pt;margin-top:3.8pt;width:24pt;height:2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" adj="11335,7634" fillcolor="#70ad47 [3209]" strokecolor="#10190a [489]" strokeweight="1pt"/>
                        </w:pict>
                      </mc:Fallback>
                    </mc:AlternateContent>
                  </w:r>
                  <w:r w:rsidRPr="00A43D4B">
                    <w:rPr>
                      <w:rFonts w:ascii="Microsoft New Tai Lue" w:hAnsi="Microsoft New Tai Lue" w:cs="Microsoft New Tai Lue"/>
                      <w:sz w:val="26"/>
                      <w:szCs w:val="26"/>
                      <w:lang w:eastAsia="en-GB"/>
                    </w:rPr>
                    <w:t xml:space="preserve">586              </w:t>
                  </w:r>
                  <w:proofErr w:type="gramStart"/>
                  <w:r w:rsidRPr="00A43D4B">
                    <w:rPr>
                      <w:rFonts w:ascii="Microsoft New Tai Lue" w:hAnsi="Microsoft New Tai Lue" w:cs="Microsoft New Tai Lue"/>
                      <w:sz w:val="26"/>
                      <w:szCs w:val="26"/>
                      <w:lang w:eastAsia="en-GB"/>
                    </w:rPr>
                    <w:t xml:space="preserve">   </w:t>
                  </w:r>
                  <w:r w:rsidRPr="00D47785">
                    <w:rPr>
                      <w:rFonts w:ascii="Microsoft New Tai Lue" w:hAnsi="Microsoft New Tai Lue" w:cs="Microsoft New Tai Lue"/>
                      <w:color w:val="92D050"/>
                      <w:sz w:val="26"/>
                      <w:szCs w:val="26"/>
                      <w:lang w:eastAsia="en-GB"/>
                    </w:rPr>
                    <w:t>(</w:t>
                  </w:r>
                  <w:proofErr w:type="gramEnd"/>
                  <w:r w:rsidRPr="00D47785">
                    <w:rPr>
                      <w:rFonts w:ascii="Microsoft New Tai Lue" w:hAnsi="Microsoft New Tai Lue" w:cs="Microsoft New Tai Lue"/>
                      <w:color w:val="92D050"/>
                      <w:sz w:val="26"/>
                      <w:szCs w:val="26"/>
                      <w:lang w:eastAsia="en-GB"/>
                    </w:rPr>
                    <w:t>-133)</w:t>
                  </w:r>
                </w:p>
              </w:tc>
            </w:tr>
          </w:tbl>
          <w:p w14:paraId="0ED5D139" w14:textId="67B4B641" w:rsidR="00A43D4B" w:rsidRPr="00A43D4B" w:rsidRDefault="00A43D4B" w:rsidP="00E92B57">
            <w:pPr>
              <w:rPr>
                <w:rFonts w:ascii="Atkinson Hyperlegible" w:hAnsi="Atkinson Hyperlegible" w:cs="Arial"/>
                <w:sz w:val="20"/>
                <w:szCs w:val="20"/>
              </w:rPr>
            </w:pPr>
          </w:p>
        </w:tc>
      </w:tr>
      <w:tr w:rsidR="00ED508F" w:rsidRPr="002858FB" w14:paraId="74D34150" w14:textId="77777777" w:rsidTr="005E4608">
        <w:trPr>
          <w:trHeight w:val="319"/>
          <w:tblCellSpacing w:w="11" w:type="dxa"/>
        </w:trPr>
        <w:tc>
          <w:tcPr>
            <w:tcW w:w="499" w:type="pct"/>
          </w:tcPr>
          <w:p w14:paraId="208A4B01" w14:textId="77777777" w:rsidR="00ED508F" w:rsidRPr="002858FB" w:rsidRDefault="00ED508F">
            <w:pPr>
              <w:pStyle w:val="ReportHead2"/>
              <w:keepNext w:val="0"/>
              <w:tabs>
                <w:tab w:val="num" w:pos="714"/>
              </w:tabs>
              <w:rPr>
                <w:rFonts w:ascii="Atkinson Hyperlegible" w:hAnsi="Atkinson Hyperlegible"/>
                <w:color w:val="FF0000"/>
                <w:szCs w:val="24"/>
              </w:rPr>
            </w:pPr>
          </w:p>
        </w:tc>
        <w:tc>
          <w:tcPr>
            <w:tcW w:w="4466" w:type="pct"/>
            <w:gridSpan w:val="2"/>
          </w:tcPr>
          <w:p w14:paraId="746C2BA5" w14:textId="1BEDB83B" w:rsidR="00ED508F" w:rsidRPr="008C1A4F" w:rsidRDefault="005C1568" w:rsidP="00A43D4B">
            <w:pPr>
              <w:rPr>
                <w:rFonts w:ascii="Atkinson Hyperlegible" w:hAnsi="Atkinson Hyperlegible" w:cs="Arial"/>
                <w:b/>
                <w:bCs/>
              </w:rPr>
            </w:pPr>
            <w:r>
              <w:rPr>
                <w:rFonts w:ascii="Atkinson Hyperlegible" w:hAnsi="Atkinson Hyperlegible" w:cs="Arial"/>
              </w:rPr>
              <w:t xml:space="preserve">This is an improving picture on </w:t>
            </w:r>
            <w:r w:rsidR="001B4292">
              <w:rPr>
                <w:rFonts w:ascii="Atkinson Hyperlegible" w:hAnsi="Atkinson Hyperlegible" w:cs="Arial"/>
              </w:rPr>
              <w:t xml:space="preserve">the </w:t>
            </w:r>
            <w:r>
              <w:rPr>
                <w:rFonts w:ascii="Atkinson Hyperlegible" w:hAnsi="Atkinson Hyperlegible" w:cs="Arial"/>
              </w:rPr>
              <w:t xml:space="preserve">last </w:t>
            </w:r>
            <w:r w:rsidR="001B4292">
              <w:rPr>
                <w:rFonts w:ascii="Atkinson Hyperlegible" w:hAnsi="Atkinson Hyperlegible" w:cs="Arial"/>
              </w:rPr>
              <w:t>q</w:t>
            </w:r>
            <w:r>
              <w:rPr>
                <w:rFonts w:ascii="Atkinson Hyperlegible" w:hAnsi="Atkinson Hyperlegible" w:cs="Arial"/>
              </w:rPr>
              <w:t>uarter</w:t>
            </w:r>
            <w:r w:rsidR="00DD6BD1">
              <w:rPr>
                <w:rFonts w:ascii="Atkinson Hyperlegible" w:hAnsi="Atkinson Hyperlegible" w:cs="Arial"/>
              </w:rPr>
              <w:t xml:space="preserve"> with a 7% reduction overall in the </w:t>
            </w:r>
            <w:r w:rsidR="001B4292">
              <w:rPr>
                <w:rFonts w:ascii="Atkinson Hyperlegible" w:hAnsi="Atkinson Hyperlegible" w:cs="Arial"/>
              </w:rPr>
              <w:t xml:space="preserve">number </w:t>
            </w:r>
            <w:r w:rsidR="00DD6BD1">
              <w:rPr>
                <w:rFonts w:ascii="Atkinson Hyperlegible" w:hAnsi="Atkinson Hyperlegible" w:cs="Arial"/>
              </w:rPr>
              <w:t>of overdue assessments across the board</w:t>
            </w:r>
            <w:r w:rsidR="0037524F">
              <w:rPr>
                <w:rFonts w:ascii="Atkinson Hyperlegible" w:hAnsi="Atkinson Hyperlegible" w:cs="Arial"/>
              </w:rPr>
              <w:t>,</w:t>
            </w:r>
            <w:r>
              <w:rPr>
                <w:rFonts w:ascii="Atkinson Hyperlegible" w:hAnsi="Atkinson Hyperlegible" w:cs="Arial"/>
              </w:rPr>
              <w:t xml:space="preserve"> </w:t>
            </w:r>
            <w:r w:rsidR="009479DD">
              <w:rPr>
                <w:rFonts w:ascii="Atkinson Hyperlegible" w:hAnsi="Atkinson Hyperlegible" w:cs="Arial"/>
              </w:rPr>
              <w:t xml:space="preserve">although </w:t>
            </w:r>
            <w:r w:rsidR="00035F90">
              <w:rPr>
                <w:rFonts w:ascii="Atkinson Hyperlegible" w:hAnsi="Atkinson Hyperlegible" w:cs="Arial"/>
              </w:rPr>
              <w:t>d</w:t>
            </w:r>
            <w:r w:rsidR="009479DD">
              <w:rPr>
                <w:rFonts w:ascii="Atkinson Hyperlegible" w:hAnsi="Atkinson Hyperlegible" w:cs="Arial"/>
              </w:rPr>
              <w:t xml:space="preserve">emand continues to </w:t>
            </w:r>
            <w:r w:rsidR="00686721">
              <w:rPr>
                <w:rFonts w:ascii="Atkinson Hyperlegible" w:hAnsi="Atkinson Hyperlegible" w:cs="Arial"/>
              </w:rPr>
              <w:t>increase pressure in the teams</w:t>
            </w:r>
            <w:r w:rsidR="00F83971">
              <w:rPr>
                <w:rFonts w:ascii="Atkinson Hyperlegible" w:hAnsi="Atkinson Hyperlegible" w:cs="Arial"/>
              </w:rPr>
              <w:t xml:space="preserve">. </w:t>
            </w:r>
            <w:r w:rsidR="001B4292">
              <w:rPr>
                <w:rFonts w:ascii="Atkinson Hyperlegible" w:hAnsi="Atkinson Hyperlegible" w:cs="Arial"/>
              </w:rPr>
              <w:t xml:space="preserve"> It should also</w:t>
            </w:r>
            <w:r w:rsidR="0021747A">
              <w:rPr>
                <w:rFonts w:ascii="Atkinson Hyperlegible" w:hAnsi="Atkinson Hyperlegible" w:cs="Arial"/>
              </w:rPr>
              <w:t xml:space="preserve"> be noted that t</w:t>
            </w:r>
            <w:r w:rsidR="00DF60A7">
              <w:rPr>
                <w:rFonts w:ascii="Atkinson Hyperlegible" w:hAnsi="Atkinson Hyperlegible" w:cs="Arial"/>
              </w:rPr>
              <w:t xml:space="preserve">he overdue worklist is not a static list as overdue work is banded by the </w:t>
            </w:r>
            <w:r w:rsidR="001B4292">
              <w:rPr>
                <w:rFonts w:ascii="Atkinson Hyperlegible" w:hAnsi="Atkinson Hyperlegible" w:cs="Arial"/>
              </w:rPr>
              <w:t>number</w:t>
            </w:r>
            <w:r w:rsidR="00DF60A7">
              <w:rPr>
                <w:rFonts w:ascii="Atkinson Hyperlegible" w:hAnsi="Atkinson Hyperlegible" w:cs="Arial"/>
              </w:rPr>
              <w:t xml:space="preserve"> of days overdue so the most overdue work (365+) </w:t>
            </w:r>
            <w:r w:rsidR="001B4292">
              <w:rPr>
                <w:rFonts w:ascii="Atkinson Hyperlegible" w:hAnsi="Atkinson Hyperlegible" w:cs="Arial"/>
              </w:rPr>
              <w:t>figures</w:t>
            </w:r>
            <w:r w:rsidR="0021747A">
              <w:rPr>
                <w:rFonts w:ascii="Atkinson Hyperlegible" w:hAnsi="Atkinson Hyperlegible" w:cs="Arial"/>
              </w:rPr>
              <w:t xml:space="preserve"> </w:t>
            </w:r>
            <w:r w:rsidR="00DF60A7">
              <w:rPr>
                <w:rFonts w:ascii="Atkinson Hyperlegible" w:hAnsi="Atkinson Hyperlegible" w:cs="Arial"/>
              </w:rPr>
              <w:t xml:space="preserve">can change </w:t>
            </w:r>
            <w:proofErr w:type="gramStart"/>
            <w:r w:rsidR="00DF60A7">
              <w:rPr>
                <w:rFonts w:ascii="Atkinson Hyperlegible" w:hAnsi="Atkinson Hyperlegible" w:cs="Arial"/>
              </w:rPr>
              <w:t>on a daily basis</w:t>
            </w:r>
            <w:proofErr w:type="gramEnd"/>
            <w:r w:rsidR="0021747A">
              <w:rPr>
                <w:rFonts w:ascii="Atkinson Hyperlegible" w:hAnsi="Atkinson Hyperlegible" w:cs="Arial"/>
              </w:rPr>
              <w:t>.</w:t>
            </w:r>
            <w:r w:rsidR="00A533EE">
              <w:rPr>
                <w:rFonts w:ascii="Atkinson Hyperlegible" w:hAnsi="Atkinson Hyperlegible" w:cs="Arial"/>
              </w:rPr>
              <w:t xml:space="preserve"> </w:t>
            </w:r>
          </w:p>
        </w:tc>
      </w:tr>
      <w:tr w:rsidR="00DF60A7" w:rsidRPr="002858FB" w14:paraId="684064CC" w14:textId="77777777" w:rsidTr="005E4608">
        <w:trPr>
          <w:trHeight w:val="319"/>
          <w:tblCellSpacing w:w="11" w:type="dxa"/>
        </w:trPr>
        <w:tc>
          <w:tcPr>
            <w:tcW w:w="499" w:type="pct"/>
          </w:tcPr>
          <w:p w14:paraId="2499842D" w14:textId="77777777" w:rsidR="00DF60A7" w:rsidRPr="002858FB" w:rsidRDefault="00DF60A7">
            <w:pPr>
              <w:pStyle w:val="ReportHead2"/>
              <w:keepNext w:val="0"/>
              <w:tabs>
                <w:tab w:val="num" w:pos="714"/>
              </w:tabs>
              <w:rPr>
                <w:rFonts w:ascii="Atkinson Hyperlegible" w:hAnsi="Atkinson Hyperlegible"/>
                <w:color w:val="FF0000"/>
                <w:szCs w:val="24"/>
              </w:rPr>
            </w:pPr>
          </w:p>
        </w:tc>
        <w:tc>
          <w:tcPr>
            <w:tcW w:w="4466" w:type="pct"/>
            <w:gridSpan w:val="2"/>
          </w:tcPr>
          <w:p w14:paraId="307088E4" w14:textId="411A8424" w:rsidR="00DF60A7" w:rsidRPr="008C1A4F" w:rsidRDefault="003C17AC" w:rsidP="00A43D4B">
            <w:pPr>
              <w:rPr>
                <w:rFonts w:ascii="Atkinson Hyperlegible" w:hAnsi="Atkinson Hyperlegible" w:cs="Arial"/>
                <w:b/>
                <w:bCs/>
              </w:rPr>
            </w:pPr>
            <w:r>
              <w:rPr>
                <w:rFonts w:ascii="Atkinson Hyperlegible" w:hAnsi="Atkinson Hyperlegible" w:cs="Arial"/>
                <w:b/>
                <w:bCs/>
              </w:rPr>
              <w:t xml:space="preserve">Overdue </w:t>
            </w:r>
            <w:r w:rsidR="00DF60A7">
              <w:rPr>
                <w:rFonts w:ascii="Atkinson Hyperlegible" w:hAnsi="Atkinson Hyperlegible" w:cs="Arial"/>
                <w:b/>
                <w:bCs/>
              </w:rPr>
              <w:t>Care Act Assessment</w:t>
            </w:r>
            <w:r w:rsidR="001B4292">
              <w:rPr>
                <w:rFonts w:ascii="Atkinson Hyperlegible" w:hAnsi="Atkinson Hyperlegible" w:cs="Arial"/>
                <w:b/>
                <w:bCs/>
              </w:rPr>
              <w:t>s</w:t>
            </w:r>
          </w:p>
        </w:tc>
      </w:tr>
      <w:tr w:rsidR="008C1A4F" w:rsidRPr="002858FB" w14:paraId="01A31073" w14:textId="77777777" w:rsidTr="005E4608">
        <w:trPr>
          <w:trHeight w:val="319"/>
          <w:tblCellSpacing w:w="11" w:type="dxa"/>
        </w:trPr>
        <w:tc>
          <w:tcPr>
            <w:tcW w:w="499" w:type="pct"/>
          </w:tcPr>
          <w:p w14:paraId="14BAFEC2" w14:textId="77777777" w:rsidR="008C1A4F" w:rsidRPr="002858FB" w:rsidRDefault="008C1A4F">
            <w:pPr>
              <w:pStyle w:val="ReportHead2"/>
              <w:keepNext w:val="0"/>
              <w:tabs>
                <w:tab w:val="num" w:pos="714"/>
              </w:tabs>
              <w:rPr>
                <w:rFonts w:ascii="Atkinson Hyperlegible" w:hAnsi="Atkinson Hyperlegible"/>
                <w:color w:val="FF0000"/>
                <w:szCs w:val="24"/>
              </w:rPr>
            </w:pPr>
          </w:p>
        </w:tc>
        <w:tc>
          <w:tcPr>
            <w:tcW w:w="4466" w:type="pct"/>
            <w:gridSpan w:val="2"/>
          </w:tcPr>
          <w:p w14:paraId="64CC032F" w14:textId="0BA721B3" w:rsidR="008C1A4F" w:rsidRDefault="008C1A4F" w:rsidP="00A43D4B">
            <w:pPr>
              <w:rPr>
                <w:rFonts w:ascii="Atkinson Hyperlegible" w:hAnsi="Atkinson Hyperlegible" w:cs="Arial"/>
                <w:b/>
                <w:bCs/>
              </w:rPr>
            </w:pPr>
            <w:r w:rsidRPr="008C1A4F">
              <w:rPr>
                <w:rFonts w:ascii="Atkinson Hyperlegible" w:hAnsi="Atkinson Hyperlegible" w:cs="Arial"/>
                <w:b/>
                <w:bCs/>
                <w:noProof/>
              </w:rPr>
              <w:drawing>
                <wp:inline distT="0" distB="0" distL="0" distR="0" wp14:anchorId="25C49065" wp14:editId="00E4274C">
                  <wp:extent cx="3620005" cy="2962688"/>
                  <wp:effectExtent l="0" t="0" r="0" b="9525"/>
                  <wp:docPr id="2096146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46931" name=""/>
                          <pic:cNvPicPr/>
                        </pic:nvPicPr>
                        <pic:blipFill>
                          <a:blip r:embed="rId14"/>
                          <a:stretch>
                            <a:fillRect/>
                          </a:stretch>
                        </pic:blipFill>
                        <pic:spPr>
                          <a:xfrm>
                            <a:off x="0" y="0"/>
                            <a:ext cx="3620005" cy="2962688"/>
                          </a:xfrm>
                          <a:prstGeom prst="rect">
                            <a:avLst/>
                          </a:prstGeom>
                        </pic:spPr>
                      </pic:pic>
                    </a:graphicData>
                  </a:graphic>
                </wp:inline>
              </w:drawing>
            </w:r>
          </w:p>
        </w:tc>
      </w:tr>
      <w:tr w:rsidR="000A67DC" w:rsidRPr="002858FB" w14:paraId="554AD8B4" w14:textId="77777777" w:rsidTr="005E4608">
        <w:trPr>
          <w:trHeight w:val="319"/>
          <w:tblCellSpacing w:w="11" w:type="dxa"/>
        </w:trPr>
        <w:tc>
          <w:tcPr>
            <w:tcW w:w="499" w:type="pct"/>
          </w:tcPr>
          <w:p w14:paraId="0583149C" w14:textId="77777777" w:rsidR="000A67DC" w:rsidRPr="002858FB" w:rsidRDefault="000A67DC">
            <w:pPr>
              <w:pStyle w:val="ReportHead2"/>
              <w:keepNext w:val="0"/>
              <w:tabs>
                <w:tab w:val="num" w:pos="714"/>
              </w:tabs>
              <w:rPr>
                <w:rFonts w:ascii="Atkinson Hyperlegible" w:hAnsi="Atkinson Hyperlegible"/>
                <w:color w:val="FF0000"/>
                <w:szCs w:val="24"/>
              </w:rPr>
            </w:pPr>
          </w:p>
        </w:tc>
        <w:tc>
          <w:tcPr>
            <w:tcW w:w="4466" w:type="pct"/>
            <w:gridSpan w:val="2"/>
          </w:tcPr>
          <w:p w14:paraId="10BA4738" w14:textId="787F7902" w:rsidR="000A67DC" w:rsidRPr="000A67DC" w:rsidRDefault="00F56810" w:rsidP="00E4431F">
            <w:pPr>
              <w:rPr>
                <w:rFonts w:ascii="Atkinson Hyperlegible" w:hAnsi="Atkinson Hyperlegible" w:cs="Arial"/>
              </w:rPr>
            </w:pPr>
            <w:r>
              <w:rPr>
                <w:rFonts w:ascii="Atkinson Hyperlegible" w:hAnsi="Atkinson Hyperlegible" w:cs="Arial"/>
              </w:rPr>
              <w:t xml:space="preserve">Overdue Care Act assessments have </w:t>
            </w:r>
            <w:r w:rsidR="000B0742">
              <w:rPr>
                <w:rFonts w:ascii="Atkinson Hyperlegible" w:hAnsi="Atkinson Hyperlegible" w:cs="Arial"/>
              </w:rPr>
              <w:t>increased in the last qu</w:t>
            </w:r>
            <w:r w:rsidR="00CC551C">
              <w:rPr>
                <w:rFonts w:ascii="Atkinson Hyperlegible" w:hAnsi="Atkinson Hyperlegible" w:cs="Arial"/>
              </w:rPr>
              <w:t>a</w:t>
            </w:r>
            <w:r w:rsidR="000B0742">
              <w:rPr>
                <w:rFonts w:ascii="Atkinson Hyperlegible" w:hAnsi="Atkinson Hyperlegible" w:cs="Arial"/>
              </w:rPr>
              <w:t xml:space="preserve">rter with South Somerset continuing to have the highest numbers of </w:t>
            </w:r>
            <w:r w:rsidR="003D2849">
              <w:rPr>
                <w:rFonts w:ascii="Atkinson Hyperlegible" w:hAnsi="Atkinson Hyperlegible" w:cs="Arial"/>
              </w:rPr>
              <w:t xml:space="preserve">overdue work. This team remains significantly challenged with the highest number of locum </w:t>
            </w:r>
            <w:r w:rsidR="001B4292">
              <w:rPr>
                <w:rFonts w:ascii="Atkinson Hyperlegible" w:hAnsi="Atkinson Hyperlegible" w:cs="Arial"/>
              </w:rPr>
              <w:t xml:space="preserve">staff </w:t>
            </w:r>
            <w:r w:rsidR="003D2849">
              <w:rPr>
                <w:rFonts w:ascii="Atkinson Hyperlegible" w:hAnsi="Atkinson Hyperlegible" w:cs="Arial"/>
              </w:rPr>
              <w:t>and the highest number of vacancies</w:t>
            </w:r>
            <w:r w:rsidR="00CC551C">
              <w:rPr>
                <w:rFonts w:ascii="Atkinson Hyperlegible" w:hAnsi="Atkinson Hyperlegible" w:cs="Arial"/>
              </w:rPr>
              <w:t xml:space="preserve"> across the county</w:t>
            </w:r>
            <w:r w:rsidR="00107C0E">
              <w:rPr>
                <w:rFonts w:ascii="Atkinson Hyperlegible" w:hAnsi="Atkinson Hyperlegible" w:cs="Arial"/>
              </w:rPr>
              <w:t xml:space="preserve"> </w:t>
            </w:r>
            <w:r w:rsidR="003D2849">
              <w:rPr>
                <w:rFonts w:ascii="Atkinson Hyperlegible" w:hAnsi="Atkinson Hyperlegible" w:cs="Arial"/>
              </w:rPr>
              <w:t>in the team</w:t>
            </w:r>
            <w:r w:rsidR="00CC551C">
              <w:rPr>
                <w:rFonts w:ascii="Atkinson Hyperlegible" w:hAnsi="Atkinson Hyperlegible" w:cs="Arial"/>
              </w:rPr>
              <w:t>s in this area</w:t>
            </w:r>
            <w:r w:rsidR="001B4292">
              <w:rPr>
                <w:rFonts w:ascii="Atkinson Hyperlegible" w:hAnsi="Atkinson Hyperlegible" w:cs="Arial"/>
              </w:rPr>
              <w:t xml:space="preserve">.  As </w:t>
            </w:r>
            <w:r w:rsidR="00EC0B53">
              <w:rPr>
                <w:rFonts w:ascii="Atkinson Hyperlegible" w:hAnsi="Atkinson Hyperlegible" w:cs="Arial"/>
              </w:rPr>
              <w:t xml:space="preserve">an </w:t>
            </w:r>
            <w:proofErr w:type="gramStart"/>
            <w:r w:rsidR="00EC0B53">
              <w:rPr>
                <w:rFonts w:ascii="Atkinson Hyperlegible" w:hAnsi="Atkinson Hyperlegible" w:cs="Arial"/>
              </w:rPr>
              <w:lastRenderedPageBreak/>
              <w:t>example</w:t>
            </w:r>
            <w:proofErr w:type="gramEnd"/>
            <w:r w:rsidR="00EC0B53">
              <w:rPr>
                <w:rFonts w:ascii="Atkinson Hyperlegible" w:hAnsi="Atkinson Hyperlegible" w:cs="Arial"/>
              </w:rPr>
              <w:t xml:space="preserve"> the CLIC neighbourhood team has no permanent </w:t>
            </w:r>
            <w:r w:rsidR="00344FF9">
              <w:rPr>
                <w:rFonts w:ascii="Atkinson Hyperlegible" w:hAnsi="Atkinson Hyperlegible" w:cs="Arial"/>
              </w:rPr>
              <w:t>service manager</w:t>
            </w:r>
            <w:r w:rsidR="00107C0E">
              <w:rPr>
                <w:rFonts w:ascii="Atkinson Hyperlegible" w:hAnsi="Atkinson Hyperlegible" w:cs="Arial"/>
              </w:rPr>
              <w:t>,</w:t>
            </w:r>
            <w:r w:rsidR="00344FF9">
              <w:rPr>
                <w:rFonts w:ascii="Atkinson Hyperlegible" w:hAnsi="Atkinson Hyperlegible" w:cs="Arial"/>
              </w:rPr>
              <w:t xml:space="preserve"> advanced </w:t>
            </w:r>
            <w:r w:rsidR="00755F60">
              <w:rPr>
                <w:rFonts w:ascii="Atkinson Hyperlegible" w:hAnsi="Atkinson Hyperlegible" w:cs="Arial"/>
              </w:rPr>
              <w:t>practitioners</w:t>
            </w:r>
            <w:r w:rsidR="00107C0E">
              <w:rPr>
                <w:rFonts w:ascii="Atkinson Hyperlegible" w:hAnsi="Atkinson Hyperlegible" w:cs="Arial"/>
              </w:rPr>
              <w:t>, or</w:t>
            </w:r>
            <w:r w:rsidR="00344FF9">
              <w:rPr>
                <w:rFonts w:ascii="Atkinson Hyperlegible" w:hAnsi="Atkinson Hyperlegible" w:cs="Arial"/>
              </w:rPr>
              <w:t xml:space="preserve"> </w:t>
            </w:r>
            <w:r w:rsidR="00EC0B53">
              <w:rPr>
                <w:rFonts w:ascii="Atkinson Hyperlegible" w:hAnsi="Atkinson Hyperlegible" w:cs="Arial"/>
              </w:rPr>
              <w:t>social workers and is staffed entirely by locums</w:t>
            </w:r>
            <w:r w:rsidR="00107C0E">
              <w:rPr>
                <w:rFonts w:ascii="Atkinson Hyperlegible" w:hAnsi="Atkinson Hyperlegible" w:cs="Arial"/>
              </w:rPr>
              <w:t xml:space="preserve"> in these roles</w:t>
            </w:r>
            <w:r w:rsidR="00344FF9">
              <w:rPr>
                <w:rFonts w:ascii="Atkinson Hyperlegible" w:hAnsi="Atkinson Hyperlegible" w:cs="Arial"/>
              </w:rPr>
              <w:t xml:space="preserve">. </w:t>
            </w:r>
            <w:r w:rsidR="003E7ED4">
              <w:rPr>
                <w:rFonts w:ascii="Atkinson Hyperlegible" w:hAnsi="Atkinson Hyperlegible" w:cs="Arial"/>
              </w:rPr>
              <w:t>This leads to inconsistency and high turnove</w:t>
            </w:r>
            <w:r w:rsidR="001B4292">
              <w:rPr>
                <w:rFonts w:ascii="Atkinson Hyperlegible" w:hAnsi="Atkinson Hyperlegible" w:cs="Arial"/>
              </w:rPr>
              <w:t>r</w:t>
            </w:r>
            <w:r w:rsidR="003E7ED4">
              <w:rPr>
                <w:rFonts w:ascii="Atkinson Hyperlegible" w:hAnsi="Atkinson Hyperlegible" w:cs="Arial"/>
              </w:rPr>
              <w:t xml:space="preserve"> of staff. This </w:t>
            </w:r>
            <w:r w:rsidR="001B4292">
              <w:rPr>
                <w:rFonts w:ascii="Atkinson Hyperlegible" w:hAnsi="Atkinson Hyperlegible" w:cs="Arial"/>
              </w:rPr>
              <w:t>is a recognised concern by the Adults Senior Management Team</w:t>
            </w:r>
            <w:r w:rsidR="003E7ED4">
              <w:rPr>
                <w:rFonts w:ascii="Atkinson Hyperlegible" w:hAnsi="Atkinson Hyperlegible" w:cs="Arial"/>
              </w:rPr>
              <w:t xml:space="preserve"> and a planned </w:t>
            </w:r>
            <w:r w:rsidR="001D454F">
              <w:rPr>
                <w:rFonts w:ascii="Atkinson Hyperlegible" w:hAnsi="Atkinson Hyperlegible" w:cs="Arial"/>
              </w:rPr>
              <w:t>re</w:t>
            </w:r>
            <w:r w:rsidR="001B4292">
              <w:rPr>
                <w:rFonts w:ascii="Atkinson Hyperlegible" w:hAnsi="Atkinson Hyperlegible" w:cs="Arial"/>
              </w:rPr>
              <w:t>-</w:t>
            </w:r>
            <w:r w:rsidR="001D454F">
              <w:rPr>
                <w:rFonts w:ascii="Atkinson Hyperlegible" w:hAnsi="Atkinson Hyperlegible" w:cs="Arial"/>
              </w:rPr>
              <w:t>set of work in the South Somerset teams is being developed for February.</w:t>
            </w:r>
          </w:p>
        </w:tc>
      </w:tr>
      <w:tr w:rsidR="002858FB" w:rsidRPr="002858FB" w14:paraId="22CE9186" w14:textId="77777777" w:rsidTr="005E4608">
        <w:trPr>
          <w:trHeight w:val="319"/>
          <w:tblCellSpacing w:w="11" w:type="dxa"/>
        </w:trPr>
        <w:tc>
          <w:tcPr>
            <w:tcW w:w="499" w:type="pct"/>
          </w:tcPr>
          <w:p w14:paraId="7EEF3F6E" w14:textId="77777777" w:rsidR="000F5140" w:rsidRPr="002858FB" w:rsidRDefault="000F5140">
            <w:pPr>
              <w:pStyle w:val="ReportHead2"/>
              <w:keepNext w:val="0"/>
              <w:tabs>
                <w:tab w:val="num" w:pos="714"/>
              </w:tabs>
              <w:rPr>
                <w:rFonts w:ascii="Atkinson Hyperlegible" w:hAnsi="Atkinson Hyperlegible"/>
                <w:color w:val="FF0000"/>
                <w:szCs w:val="24"/>
              </w:rPr>
            </w:pPr>
          </w:p>
        </w:tc>
        <w:tc>
          <w:tcPr>
            <w:tcW w:w="4466" w:type="pct"/>
            <w:gridSpan w:val="2"/>
          </w:tcPr>
          <w:p w14:paraId="5DAD8C6B" w14:textId="2A094345" w:rsidR="00942963" w:rsidRDefault="003C17AC" w:rsidP="00E4431F">
            <w:pPr>
              <w:rPr>
                <w:rFonts w:ascii="Atkinson Hyperlegible" w:hAnsi="Atkinson Hyperlegible" w:cs="Arial"/>
                <w:b/>
                <w:bCs/>
              </w:rPr>
            </w:pPr>
            <w:r>
              <w:rPr>
                <w:rFonts w:ascii="Atkinson Hyperlegible" w:hAnsi="Atkinson Hyperlegible" w:cs="Arial"/>
                <w:b/>
                <w:bCs/>
              </w:rPr>
              <w:t xml:space="preserve">Overdue </w:t>
            </w:r>
            <w:r w:rsidR="00E4431F">
              <w:rPr>
                <w:rFonts w:ascii="Atkinson Hyperlegible" w:hAnsi="Atkinson Hyperlegible" w:cs="Arial"/>
                <w:b/>
                <w:bCs/>
              </w:rPr>
              <w:t>Carers Assessments</w:t>
            </w:r>
          </w:p>
          <w:p w14:paraId="2ACD14BE" w14:textId="3375FAFE" w:rsidR="00CC1D33" w:rsidRDefault="004346D9" w:rsidP="00E4431F">
            <w:pPr>
              <w:rPr>
                <w:rFonts w:ascii="Atkinson Hyperlegible" w:hAnsi="Atkinson Hyperlegible" w:cs="Arial"/>
              </w:rPr>
            </w:pPr>
            <w:r>
              <w:rPr>
                <w:rFonts w:ascii="Atkinson Hyperlegible" w:hAnsi="Atkinson Hyperlegible" w:cs="Arial"/>
              </w:rPr>
              <w:t xml:space="preserve">The number of </w:t>
            </w:r>
            <w:r w:rsidR="00CC1D33" w:rsidRPr="00CB7FAF">
              <w:rPr>
                <w:rFonts w:ascii="Atkinson Hyperlegible" w:hAnsi="Atkinson Hyperlegible" w:cs="Arial"/>
              </w:rPr>
              <w:t>Carers Assessments</w:t>
            </w:r>
            <w:r w:rsidR="00CB7FAF" w:rsidRPr="00CB7FAF">
              <w:rPr>
                <w:rFonts w:ascii="Atkinson Hyperlegible" w:hAnsi="Atkinson Hyperlegible" w:cs="Arial"/>
              </w:rPr>
              <w:t xml:space="preserve"> remain</w:t>
            </w:r>
            <w:r w:rsidR="00D11B25">
              <w:rPr>
                <w:rFonts w:ascii="Atkinson Hyperlegible" w:hAnsi="Atkinson Hyperlegible" w:cs="Arial"/>
              </w:rPr>
              <w:t>s very</w:t>
            </w:r>
            <w:r w:rsidR="00CB7FAF" w:rsidRPr="00CB7FAF">
              <w:rPr>
                <w:rFonts w:ascii="Atkinson Hyperlegible" w:hAnsi="Atkinson Hyperlegible" w:cs="Arial"/>
              </w:rPr>
              <w:t xml:space="preserve"> low </w:t>
            </w:r>
            <w:r w:rsidR="00CB7FAF">
              <w:rPr>
                <w:rFonts w:ascii="Atkinson Hyperlegible" w:hAnsi="Atkinson Hyperlegible" w:cs="Arial"/>
              </w:rPr>
              <w:t xml:space="preserve">There are a greater number of </w:t>
            </w:r>
            <w:r>
              <w:rPr>
                <w:rFonts w:ascii="Atkinson Hyperlegible" w:hAnsi="Atkinson Hyperlegible" w:cs="Arial"/>
              </w:rPr>
              <w:t xml:space="preserve">combined Care Act and Carers assessments but </w:t>
            </w:r>
            <w:r w:rsidR="00444F44">
              <w:rPr>
                <w:rFonts w:ascii="Atkinson Hyperlegible" w:hAnsi="Atkinson Hyperlegible" w:cs="Arial"/>
              </w:rPr>
              <w:t xml:space="preserve">separate carers assessments do not appear to being used in any consistent way across teams </w:t>
            </w:r>
            <w:r w:rsidR="001B4292">
              <w:rPr>
                <w:rFonts w:ascii="Atkinson Hyperlegible" w:hAnsi="Atkinson Hyperlegible" w:cs="Arial"/>
              </w:rPr>
              <w:t>- t</w:t>
            </w:r>
            <w:r w:rsidR="00444F44" w:rsidRPr="00CB7FAF">
              <w:rPr>
                <w:rFonts w:ascii="Atkinson Hyperlegible" w:hAnsi="Atkinson Hyperlegible" w:cs="Arial"/>
              </w:rPr>
              <w:t>his is due to be raised at the next practice Quality Board in March</w:t>
            </w:r>
            <w:r w:rsidR="001B4292">
              <w:rPr>
                <w:rFonts w:ascii="Atkinson Hyperlegible" w:hAnsi="Atkinson Hyperlegible" w:cs="Arial"/>
              </w:rPr>
              <w:t xml:space="preserve"> 2024</w:t>
            </w:r>
            <w:r w:rsidR="00444F44">
              <w:rPr>
                <w:rFonts w:ascii="Atkinson Hyperlegible" w:hAnsi="Atkinson Hyperlegible" w:cs="Arial"/>
              </w:rPr>
              <w:t xml:space="preserve"> to look at improving consistency</w:t>
            </w:r>
            <w:r w:rsidR="00D11B25">
              <w:rPr>
                <w:rFonts w:ascii="Atkinson Hyperlegible" w:hAnsi="Atkinson Hyperlegible" w:cs="Arial"/>
              </w:rPr>
              <w:t>.</w:t>
            </w:r>
          </w:p>
          <w:p w14:paraId="0E4986B5" w14:textId="77777777" w:rsidR="001B4292" w:rsidRPr="00CB7FAF" w:rsidRDefault="001B4292" w:rsidP="00E4431F">
            <w:pPr>
              <w:rPr>
                <w:rFonts w:ascii="Atkinson Hyperlegible" w:hAnsi="Atkinson Hyperlegible" w:cs="Arial"/>
              </w:rPr>
            </w:pPr>
          </w:p>
          <w:p w14:paraId="3B61678E" w14:textId="03F2B5A8" w:rsidR="00E4431F" w:rsidRPr="00BB0F5E" w:rsidRDefault="00E4431F" w:rsidP="00E4431F">
            <w:pPr>
              <w:rPr>
                <w:rFonts w:cs="Arial"/>
                <w:b/>
                <w:bCs/>
                <w:color w:val="FF0000"/>
              </w:rPr>
            </w:pPr>
            <w:r w:rsidRPr="00E4431F">
              <w:rPr>
                <w:rFonts w:cs="Arial"/>
                <w:b/>
                <w:bCs/>
                <w:noProof/>
                <w:color w:val="FF0000"/>
              </w:rPr>
              <w:drawing>
                <wp:inline distT="0" distB="0" distL="0" distR="0" wp14:anchorId="112FB18B" wp14:editId="0C0F0E08">
                  <wp:extent cx="3990975" cy="2124074"/>
                  <wp:effectExtent l="0" t="0" r="0" b="0"/>
                  <wp:docPr id="1475956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56766" name=""/>
                          <pic:cNvPicPr/>
                        </pic:nvPicPr>
                        <pic:blipFill>
                          <a:blip r:embed="rId15"/>
                          <a:stretch>
                            <a:fillRect/>
                          </a:stretch>
                        </pic:blipFill>
                        <pic:spPr>
                          <a:xfrm>
                            <a:off x="0" y="0"/>
                            <a:ext cx="4005857" cy="2131994"/>
                          </a:xfrm>
                          <a:prstGeom prst="rect">
                            <a:avLst/>
                          </a:prstGeom>
                        </pic:spPr>
                      </pic:pic>
                    </a:graphicData>
                  </a:graphic>
                </wp:inline>
              </w:drawing>
            </w:r>
          </w:p>
        </w:tc>
      </w:tr>
      <w:tr w:rsidR="00942963" w:rsidRPr="002858FB" w14:paraId="75790628" w14:textId="77777777" w:rsidTr="005E4608">
        <w:trPr>
          <w:trHeight w:val="319"/>
          <w:tblCellSpacing w:w="11" w:type="dxa"/>
        </w:trPr>
        <w:tc>
          <w:tcPr>
            <w:tcW w:w="499" w:type="pct"/>
          </w:tcPr>
          <w:p w14:paraId="20E7A334" w14:textId="77777777" w:rsidR="00942963" w:rsidRPr="002858FB" w:rsidRDefault="00942963">
            <w:pPr>
              <w:pStyle w:val="ReportHead2"/>
              <w:keepNext w:val="0"/>
              <w:tabs>
                <w:tab w:val="num" w:pos="714"/>
              </w:tabs>
              <w:rPr>
                <w:rFonts w:ascii="Atkinson Hyperlegible" w:hAnsi="Atkinson Hyperlegible"/>
                <w:color w:val="FF0000"/>
                <w:szCs w:val="24"/>
              </w:rPr>
            </w:pPr>
          </w:p>
        </w:tc>
        <w:tc>
          <w:tcPr>
            <w:tcW w:w="4466" w:type="pct"/>
            <w:gridSpan w:val="2"/>
          </w:tcPr>
          <w:p w14:paraId="6A85A9BF" w14:textId="35C18BA5" w:rsidR="00942963" w:rsidRDefault="003C17AC" w:rsidP="00A43D4B">
            <w:pPr>
              <w:rPr>
                <w:rFonts w:ascii="Atkinson Hyperlegible" w:hAnsi="Atkinson Hyperlegible" w:cs="Arial"/>
                <w:b/>
                <w:bCs/>
              </w:rPr>
            </w:pPr>
            <w:r>
              <w:rPr>
                <w:rFonts w:ascii="Atkinson Hyperlegible" w:hAnsi="Atkinson Hyperlegible" w:cs="Arial"/>
                <w:b/>
                <w:bCs/>
              </w:rPr>
              <w:t xml:space="preserve">Overdue </w:t>
            </w:r>
            <w:r w:rsidR="00D87E79">
              <w:rPr>
                <w:rFonts w:ascii="Atkinson Hyperlegible" w:hAnsi="Atkinson Hyperlegible" w:cs="Arial"/>
                <w:b/>
                <w:bCs/>
              </w:rPr>
              <w:t>Men</w:t>
            </w:r>
            <w:r w:rsidR="004F1A40">
              <w:rPr>
                <w:rFonts w:ascii="Atkinson Hyperlegible" w:hAnsi="Atkinson Hyperlegible" w:cs="Arial"/>
                <w:b/>
                <w:bCs/>
              </w:rPr>
              <w:t xml:space="preserve">tal </w:t>
            </w:r>
            <w:r w:rsidR="00557309">
              <w:rPr>
                <w:rFonts w:ascii="Atkinson Hyperlegible" w:hAnsi="Atkinson Hyperlegible" w:cs="Arial"/>
                <w:b/>
                <w:bCs/>
              </w:rPr>
              <w:t>C</w:t>
            </w:r>
            <w:r w:rsidR="004F1A40">
              <w:rPr>
                <w:rFonts w:ascii="Atkinson Hyperlegible" w:hAnsi="Atkinson Hyperlegible" w:cs="Arial"/>
                <w:b/>
                <w:bCs/>
              </w:rPr>
              <w:t>apacity Assessment</w:t>
            </w:r>
            <w:r w:rsidR="001B4292">
              <w:rPr>
                <w:rFonts w:ascii="Atkinson Hyperlegible" w:hAnsi="Atkinson Hyperlegible" w:cs="Arial"/>
                <w:b/>
                <w:bCs/>
              </w:rPr>
              <w:t>s</w:t>
            </w:r>
          </w:p>
          <w:p w14:paraId="1FD2D2B3" w14:textId="65ECA76D" w:rsidR="00557309" w:rsidRDefault="00F351C5" w:rsidP="00A43D4B">
            <w:pPr>
              <w:rPr>
                <w:rFonts w:ascii="Atkinson Hyperlegible" w:hAnsi="Atkinson Hyperlegible" w:cs="Arial"/>
              </w:rPr>
            </w:pPr>
            <w:r>
              <w:rPr>
                <w:rFonts w:ascii="Atkinson Hyperlegible" w:hAnsi="Atkinson Hyperlegible" w:cs="Arial"/>
              </w:rPr>
              <w:t xml:space="preserve">An audit was undertaken </w:t>
            </w:r>
            <w:r w:rsidR="001D69F8">
              <w:rPr>
                <w:rFonts w:ascii="Atkinson Hyperlegible" w:hAnsi="Atkinson Hyperlegible" w:cs="Arial"/>
              </w:rPr>
              <w:t>on 4th</w:t>
            </w:r>
            <w:r>
              <w:rPr>
                <w:rFonts w:ascii="Atkinson Hyperlegible" w:hAnsi="Atkinson Hyperlegible" w:cs="Arial"/>
              </w:rPr>
              <w:t xml:space="preserve"> January </w:t>
            </w:r>
            <w:r w:rsidR="001B4292">
              <w:rPr>
                <w:rFonts w:ascii="Atkinson Hyperlegible" w:hAnsi="Atkinson Hyperlegible" w:cs="Arial"/>
              </w:rPr>
              <w:t xml:space="preserve">2024 </w:t>
            </w:r>
            <w:r>
              <w:rPr>
                <w:rFonts w:ascii="Atkinson Hyperlegible" w:hAnsi="Atkinson Hyperlegible" w:cs="Arial"/>
              </w:rPr>
              <w:t>of overdue Risk assessments and overdue Ment</w:t>
            </w:r>
            <w:r w:rsidR="00385561">
              <w:rPr>
                <w:rFonts w:ascii="Atkinson Hyperlegible" w:hAnsi="Atkinson Hyperlegible" w:cs="Arial"/>
              </w:rPr>
              <w:t>a</w:t>
            </w:r>
            <w:r>
              <w:rPr>
                <w:rFonts w:ascii="Atkinson Hyperlegible" w:hAnsi="Atkinson Hyperlegible" w:cs="Arial"/>
              </w:rPr>
              <w:t xml:space="preserve">l </w:t>
            </w:r>
            <w:r w:rsidR="000C1DE6">
              <w:rPr>
                <w:rFonts w:ascii="Atkinson Hyperlegible" w:hAnsi="Atkinson Hyperlegible" w:cs="Arial"/>
              </w:rPr>
              <w:t>C</w:t>
            </w:r>
            <w:r>
              <w:rPr>
                <w:rFonts w:ascii="Atkinson Hyperlegible" w:hAnsi="Atkinson Hyperlegible" w:cs="Arial"/>
              </w:rPr>
              <w:t>apacity assessments</w:t>
            </w:r>
            <w:r w:rsidR="009D179A">
              <w:rPr>
                <w:rFonts w:ascii="Atkinson Hyperlegible" w:hAnsi="Atkinson Hyperlegible" w:cs="Arial"/>
              </w:rPr>
              <w:t xml:space="preserve">. There were </w:t>
            </w:r>
            <w:r w:rsidR="00A2029F">
              <w:rPr>
                <w:rFonts w:ascii="Atkinson Hyperlegible" w:hAnsi="Atkinson Hyperlegible" w:cs="Arial"/>
              </w:rPr>
              <w:t xml:space="preserve">36 </w:t>
            </w:r>
            <w:r w:rsidR="009D179A">
              <w:rPr>
                <w:rFonts w:ascii="Atkinson Hyperlegible" w:hAnsi="Atkinson Hyperlegible" w:cs="Arial"/>
              </w:rPr>
              <w:t>overdue</w:t>
            </w:r>
            <w:r w:rsidR="00C674B2">
              <w:rPr>
                <w:rFonts w:ascii="Atkinson Hyperlegible" w:hAnsi="Atkinson Hyperlegible" w:cs="Arial"/>
              </w:rPr>
              <w:t xml:space="preserve"> Mental Capacity </w:t>
            </w:r>
            <w:r w:rsidR="00C3480A">
              <w:rPr>
                <w:rFonts w:ascii="Atkinson Hyperlegible" w:hAnsi="Atkinson Hyperlegible" w:cs="Arial"/>
              </w:rPr>
              <w:t xml:space="preserve">assessments </w:t>
            </w:r>
            <w:r w:rsidR="00A2029F">
              <w:rPr>
                <w:rFonts w:ascii="Atkinson Hyperlegible" w:hAnsi="Atkinson Hyperlegible" w:cs="Arial"/>
              </w:rPr>
              <w:t xml:space="preserve">with </w:t>
            </w:r>
            <w:r w:rsidR="00D500A3">
              <w:rPr>
                <w:rFonts w:ascii="Atkinson Hyperlegible" w:hAnsi="Atkinson Hyperlegible" w:cs="Arial"/>
              </w:rPr>
              <w:t>1</w:t>
            </w:r>
            <w:r w:rsidR="001D69F8">
              <w:rPr>
                <w:rFonts w:ascii="Atkinson Hyperlegible" w:hAnsi="Atkinson Hyperlegible" w:cs="Arial"/>
              </w:rPr>
              <w:t xml:space="preserve">4 </w:t>
            </w:r>
            <w:r w:rsidR="00B7645B">
              <w:rPr>
                <w:rFonts w:ascii="Atkinson Hyperlegible" w:hAnsi="Atkinson Hyperlegible" w:cs="Arial"/>
              </w:rPr>
              <w:t xml:space="preserve">more than </w:t>
            </w:r>
            <w:r w:rsidR="001D69F8">
              <w:rPr>
                <w:rFonts w:ascii="Atkinson Hyperlegible" w:hAnsi="Atkinson Hyperlegible" w:cs="Arial"/>
              </w:rPr>
              <w:t>9</w:t>
            </w:r>
            <w:r w:rsidR="00D500A3">
              <w:rPr>
                <w:rFonts w:ascii="Atkinson Hyperlegible" w:hAnsi="Atkinson Hyperlegible" w:cs="Arial"/>
              </w:rPr>
              <w:t>0 days overdue</w:t>
            </w:r>
            <w:r w:rsidR="00C626F4">
              <w:rPr>
                <w:rFonts w:ascii="Atkinson Hyperlegible" w:hAnsi="Atkinson Hyperlegible" w:cs="Arial"/>
              </w:rPr>
              <w:t>,</w:t>
            </w:r>
            <w:r w:rsidR="00F53F6E">
              <w:rPr>
                <w:rFonts w:ascii="Atkinson Hyperlegible" w:hAnsi="Atkinson Hyperlegible" w:cs="Arial"/>
              </w:rPr>
              <w:t xml:space="preserve"> 10 of which were unassigned</w:t>
            </w:r>
            <w:r w:rsidR="0098601B">
              <w:rPr>
                <w:rFonts w:ascii="Atkinson Hyperlegible" w:hAnsi="Atkinson Hyperlegible" w:cs="Arial"/>
              </w:rPr>
              <w:t xml:space="preserve">. </w:t>
            </w:r>
            <w:r w:rsidR="00A82938">
              <w:rPr>
                <w:rFonts w:ascii="Atkinson Hyperlegible" w:hAnsi="Atkinson Hyperlegible" w:cs="Arial"/>
              </w:rPr>
              <w:t>When the audit was taken again on 1</w:t>
            </w:r>
            <w:r w:rsidR="00A82938" w:rsidRPr="00A82938">
              <w:rPr>
                <w:rFonts w:ascii="Atkinson Hyperlegible" w:hAnsi="Atkinson Hyperlegible" w:cs="Arial"/>
                <w:vertAlign w:val="superscript"/>
              </w:rPr>
              <w:t>st</w:t>
            </w:r>
            <w:r w:rsidR="00A82938">
              <w:rPr>
                <w:rFonts w:ascii="Atkinson Hyperlegible" w:hAnsi="Atkinson Hyperlegible" w:cs="Arial"/>
              </w:rPr>
              <w:t xml:space="preserve"> February</w:t>
            </w:r>
            <w:r w:rsidR="001B4292">
              <w:rPr>
                <w:rFonts w:ascii="Atkinson Hyperlegible" w:hAnsi="Atkinson Hyperlegible" w:cs="Arial"/>
              </w:rPr>
              <w:t xml:space="preserve"> 2024</w:t>
            </w:r>
            <w:r w:rsidR="00A82938">
              <w:rPr>
                <w:rFonts w:ascii="Atkinson Hyperlegible" w:hAnsi="Atkinson Hyperlegible" w:cs="Arial"/>
              </w:rPr>
              <w:t xml:space="preserve"> there were</w:t>
            </w:r>
            <w:r w:rsidR="006D0183">
              <w:rPr>
                <w:rFonts w:ascii="Atkinson Hyperlegible" w:hAnsi="Atkinson Hyperlegible" w:cs="Arial"/>
              </w:rPr>
              <w:t xml:space="preserve"> </w:t>
            </w:r>
            <w:r w:rsidR="00716CA1">
              <w:rPr>
                <w:rFonts w:ascii="Atkinson Hyperlegible" w:hAnsi="Atkinson Hyperlegible" w:cs="Arial"/>
              </w:rPr>
              <w:t>5</w:t>
            </w:r>
            <w:r w:rsidR="006D0183">
              <w:rPr>
                <w:rFonts w:ascii="Atkinson Hyperlegible" w:hAnsi="Atkinson Hyperlegible" w:cs="Arial"/>
              </w:rPr>
              <w:t>6</w:t>
            </w:r>
            <w:r w:rsidR="00F53F6E">
              <w:rPr>
                <w:rFonts w:ascii="Atkinson Hyperlegible" w:hAnsi="Atkinson Hyperlegible" w:cs="Arial"/>
              </w:rPr>
              <w:t xml:space="preserve"> overdue</w:t>
            </w:r>
            <w:r w:rsidR="006D0183">
              <w:rPr>
                <w:rFonts w:ascii="Atkinson Hyperlegible" w:hAnsi="Atkinson Hyperlegible" w:cs="Arial"/>
              </w:rPr>
              <w:t xml:space="preserve"> </w:t>
            </w:r>
            <w:r w:rsidR="001F18B8">
              <w:rPr>
                <w:rFonts w:ascii="Atkinson Hyperlegible" w:hAnsi="Atkinson Hyperlegible" w:cs="Arial"/>
              </w:rPr>
              <w:t xml:space="preserve">Mental </w:t>
            </w:r>
            <w:r w:rsidR="00C81077">
              <w:rPr>
                <w:rFonts w:ascii="Atkinson Hyperlegible" w:hAnsi="Atkinson Hyperlegible" w:cs="Arial"/>
              </w:rPr>
              <w:t>C</w:t>
            </w:r>
            <w:r w:rsidR="001F18B8">
              <w:rPr>
                <w:rFonts w:ascii="Atkinson Hyperlegible" w:hAnsi="Atkinson Hyperlegible" w:cs="Arial"/>
              </w:rPr>
              <w:t xml:space="preserve">apacity </w:t>
            </w:r>
            <w:r w:rsidR="001B4292">
              <w:rPr>
                <w:rFonts w:ascii="Atkinson Hyperlegible" w:hAnsi="Atkinson Hyperlegible" w:cs="Arial"/>
              </w:rPr>
              <w:t xml:space="preserve">assessments with </w:t>
            </w:r>
            <w:r w:rsidR="007641E5">
              <w:rPr>
                <w:rFonts w:ascii="Atkinson Hyperlegible" w:hAnsi="Atkinson Hyperlegible" w:cs="Arial"/>
              </w:rPr>
              <w:t xml:space="preserve">14 more than 90 days </w:t>
            </w:r>
            <w:r w:rsidR="00014E64">
              <w:rPr>
                <w:rFonts w:ascii="Atkinson Hyperlegible" w:hAnsi="Atkinson Hyperlegible" w:cs="Arial"/>
              </w:rPr>
              <w:t xml:space="preserve">overdue </w:t>
            </w:r>
            <w:r w:rsidR="007641E5">
              <w:rPr>
                <w:rFonts w:ascii="Atkinson Hyperlegible" w:hAnsi="Atkinson Hyperlegible" w:cs="Arial"/>
              </w:rPr>
              <w:t xml:space="preserve">and </w:t>
            </w:r>
            <w:r w:rsidR="00A82938">
              <w:rPr>
                <w:rFonts w:ascii="Atkinson Hyperlegible" w:hAnsi="Atkinson Hyperlegible" w:cs="Arial"/>
              </w:rPr>
              <w:t xml:space="preserve">10 </w:t>
            </w:r>
            <w:r w:rsidR="00B55AB3">
              <w:rPr>
                <w:rFonts w:ascii="Atkinson Hyperlegible" w:hAnsi="Atkinson Hyperlegible" w:cs="Arial"/>
              </w:rPr>
              <w:t>unassigned</w:t>
            </w:r>
            <w:r w:rsidR="00895128">
              <w:rPr>
                <w:rFonts w:ascii="Atkinson Hyperlegible" w:hAnsi="Atkinson Hyperlegible" w:cs="Arial"/>
              </w:rPr>
              <w:t xml:space="preserve"> to any worker</w:t>
            </w:r>
            <w:r w:rsidR="005A1992">
              <w:rPr>
                <w:rFonts w:ascii="Atkinson Hyperlegible" w:hAnsi="Atkinson Hyperlegible" w:cs="Arial"/>
              </w:rPr>
              <w:t xml:space="preserve">. </w:t>
            </w:r>
            <w:r w:rsidR="00B55AB3">
              <w:rPr>
                <w:rFonts w:ascii="Atkinson Hyperlegible" w:hAnsi="Atkinson Hyperlegible" w:cs="Arial"/>
              </w:rPr>
              <w:t xml:space="preserve"> </w:t>
            </w:r>
            <w:proofErr w:type="gramStart"/>
            <w:r w:rsidR="00082E8B">
              <w:rPr>
                <w:rFonts w:ascii="Atkinson Hyperlegible" w:hAnsi="Atkinson Hyperlegible" w:cs="Arial"/>
              </w:rPr>
              <w:t>However</w:t>
            </w:r>
            <w:proofErr w:type="gramEnd"/>
            <w:r w:rsidR="00082E8B">
              <w:rPr>
                <w:rFonts w:ascii="Atkinson Hyperlegible" w:hAnsi="Atkinson Hyperlegible" w:cs="Arial"/>
              </w:rPr>
              <w:t xml:space="preserve"> it was noted that of the most overdue</w:t>
            </w:r>
            <w:r w:rsidR="00F35805">
              <w:rPr>
                <w:rFonts w:ascii="Atkinson Hyperlegible" w:hAnsi="Atkinson Hyperlegible" w:cs="Arial"/>
              </w:rPr>
              <w:t xml:space="preserve"> (365+</w:t>
            </w:r>
            <w:r w:rsidR="007C3442">
              <w:rPr>
                <w:rFonts w:ascii="Atkinson Hyperlegible" w:hAnsi="Atkinson Hyperlegible" w:cs="Arial"/>
              </w:rPr>
              <w:t xml:space="preserve"> and 180 – 364 days) </w:t>
            </w:r>
            <w:r w:rsidR="00946B64">
              <w:rPr>
                <w:rFonts w:ascii="Atkinson Hyperlegible" w:hAnsi="Atkinson Hyperlegible" w:cs="Arial"/>
              </w:rPr>
              <w:t>t</w:t>
            </w:r>
            <w:r w:rsidR="00082E8B">
              <w:rPr>
                <w:rFonts w:ascii="Atkinson Hyperlegible" w:hAnsi="Atkinson Hyperlegible" w:cs="Arial"/>
              </w:rPr>
              <w:t xml:space="preserve">here </w:t>
            </w:r>
            <w:r w:rsidR="00F35805">
              <w:rPr>
                <w:rFonts w:ascii="Atkinson Hyperlegible" w:hAnsi="Atkinson Hyperlegible" w:cs="Arial"/>
              </w:rPr>
              <w:t xml:space="preserve">were </w:t>
            </w:r>
            <w:r w:rsidR="0069667E">
              <w:rPr>
                <w:rFonts w:ascii="Atkinson Hyperlegible" w:hAnsi="Atkinson Hyperlegible" w:cs="Arial"/>
              </w:rPr>
              <w:t>3</w:t>
            </w:r>
            <w:r w:rsidR="00F35805">
              <w:rPr>
                <w:rFonts w:ascii="Atkinson Hyperlegible" w:hAnsi="Atkinson Hyperlegible" w:cs="Arial"/>
              </w:rPr>
              <w:t xml:space="preserve"> people</w:t>
            </w:r>
            <w:r w:rsidR="000978A2">
              <w:rPr>
                <w:rFonts w:ascii="Atkinson Hyperlegible" w:hAnsi="Atkinson Hyperlegible" w:cs="Arial"/>
              </w:rPr>
              <w:t xml:space="preserve"> showing as </w:t>
            </w:r>
            <w:r w:rsidR="0069667E">
              <w:rPr>
                <w:rFonts w:ascii="Atkinson Hyperlegible" w:hAnsi="Atkinson Hyperlegible" w:cs="Arial"/>
              </w:rPr>
              <w:t xml:space="preserve">345, </w:t>
            </w:r>
            <w:r w:rsidR="000978A2">
              <w:rPr>
                <w:rFonts w:ascii="Atkinson Hyperlegible" w:hAnsi="Atkinson Hyperlegible" w:cs="Arial"/>
              </w:rPr>
              <w:t>577 and 605 days overdue</w:t>
            </w:r>
            <w:r w:rsidR="00C626F4">
              <w:rPr>
                <w:rFonts w:ascii="Atkinson Hyperlegible" w:hAnsi="Atkinson Hyperlegible" w:cs="Arial"/>
              </w:rPr>
              <w:t xml:space="preserve"> respectively which do not appear on the January</w:t>
            </w:r>
            <w:r w:rsidR="001B4292">
              <w:rPr>
                <w:rFonts w:ascii="Atkinson Hyperlegible" w:hAnsi="Atkinson Hyperlegible" w:cs="Arial"/>
              </w:rPr>
              <w:t xml:space="preserve"> 2024</w:t>
            </w:r>
            <w:r w:rsidR="00C626F4">
              <w:rPr>
                <w:rFonts w:ascii="Atkinson Hyperlegible" w:hAnsi="Atkinson Hyperlegible" w:cs="Arial"/>
              </w:rPr>
              <w:t xml:space="preserve"> list at all</w:t>
            </w:r>
            <w:r w:rsidR="001B4292">
              <w:rPr>
                <w:rFonts w:ascii="Atkinson Hyperlegible" w:hAnsi="Atkinson Hyperlegible" w:cs="Arial"/>
              </w:rPr>
              <w:t xml:space="preserve"> - our</w:t>
            </w:r>
            <w:r w:rsidR="000B3CC7">
              <w:rPr>
                <w:rFonts w:ascii="Atkinson Hyperlegible" w:hAnsi="Atkinson Hyperlegible" w:cs="Arial"/>
              </w:rPr>
              <w:t xml:space="preserve"> Performance team have been requested to look </w:t>
            </w:r>
            <w:r w:rsidR="007C3442">
              <w:rPr>
                <w:rFonts w:ascii="Atkinson Hyperlegible" w:hAnsi="Atkinson Hyperlegible" w:cs="Arial"/>
              </w:rPr>
              <w:t>into</w:t>
            </w:r>
            <w:r w:rsidR="001B4292">
              <w:rPr>
                <w:rFonts w:ascii="Atkinson Hyperlegible" w:hAnsi="Atkinson Hyperlegible" w:cs="Arial"/>
              </w:rPr>
              <w:t xml:space="preserve"> </w:t>
            </w:r>
            <w:proofErr w:type="spellStart"/>
            <w:r w:rsidR="001B4292">
              <w:rPr>
                <w:rFonts w:ascii="Atkinson Hyperlegible" w:hAnsi="Atkinson Hyperlegible" w:cs="Arial"/>
              </w:rPr>
              <w:t>discrepency</w:t>
            </w:r>
            <w:proofErr w:type="spellEnd"/>
            <w:r w:rsidR="00946B64">
              <w:rPr>
                <w:rFonts w:ascii="Atkinson Hyperlegible" w:hAnsi="Atkinson Hyperlegible" w:cs="Arial"/>
              </w:rPr>
              <w:t xml:space="preserve"> urgently.</w:t>
            </w:r>
          </w:p>
          <w:p w14:paraId="3F137C9A" w14:textId="77777777" w:rsidR="00D44129" w:rsidRPr="00557309" w:rsidRDefault="00D44129" w:rsidP="00A43D4B">
            <w:pPr>
              <w:rPr>
                <w:rFonts w:ascii="Atkinson Hyperlegible" w:hAnsi="Atkinson Hyperlegible" w:cs="Arial"/>
              </w:rPr>
            </w:pPr>
          </w:p>
          <w:p w14:paraId="716CC972" w14:textId="6CD8907E" w:rsidR="004F1A40" w:rsidRDefault="00D44129" w:rsidP="00A43D4B">
            <w:pPr>
              <w:rPr>
                <w:rFonts w:ascii="Atkinson Hyperlegible" w:hAnsi="Atkinson Hyperlegible" w:cs="Arial"/>
                <w:b/>
                <w:bCs/>
              </w:rPr>
            </w:pPr>
            <w:r w:rsidRPr="00D44129">
              <w:rPr>
                <w:rFonts w:ascii="Atkinson Hyperlegible" w:hAnsi="Atkinson Hyperlegible" w:cs="Arial"/>
                <w:b/>
                <w:bCs/>
                <w:noProof/>
              </w:rPr>
              <w:drawing>
                <wp:inline distT="0" distB="0" distL="0" distR="0" wp14:anchorId="4B2C31FA" wp14:editId="79861590">
                  <wp:extent cx="4020111" cy="2410161"/>
                  <wp:effectExtent l="0" t="0" r="0" b="9525"/>
                  <wp:docPr id="1087159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159177" name=""/>
                          <pic:cNvPicPr/>
                        </pic:nvPicPr>
                        <pic:blipFill>
                          <a:blip r:embed="rId16"/>
                          <a:stretch>
                            <a:fillRect/>
                          </a:stretch>
                        </pic:blipFill>
                        <pic:spPr>
                          <a:xfrm>
                            <a:off x="0" y="0"/>
                            <a:ext cx="4020111" cy="2410161"/>
                          </a:xfrm>
                          <a:prstGeom prst="rect">
                            <a:avLst/>
                          </a:prstGeom>
                        </pic:spPr>
                      </pic:pic>
                    </a:graphicData>
                  </a:graphic>
                </wp:inline>
              </w:drawing>
            </w:r>
          </w:p>
        </w:tc>
      </w:tr>
      <w:tr w:rsidR="002858FB" w:rsidRPr="002858FB" w14:paraId="1FF3C78E" w14:textId="77777777" w:rsidTr="005E4608">
        <w:trPr>
          <w:trHeight w:val="319"/>
          <w:tblCellSpacing w:w="11" w:type="dxa"/>
        </w:trPr>
        <w:tc>
          <w:tcPr>
            <w:tcW w:w="499" w:type="pct"/>
          </w:tcPr>
          <w:p w14:paraId="1C076F85" w14:textId="77777777" w:rsidR="000F5140" w:rsidRPr="002858FB" w:rsidRDefault="000F5140">
            <w:pPr>
              <w:pStyle w:val="ReportHead2"/>
              <w:keepNext w:val="0"/>
              <w:tabs>
                <w:tab w:val="num" w:pos="714"/>
              </w:tabs>
              <w:rPr>
                <w:rFonts w:ascii="Atkinson Hyperlegible" w:hAnsi="Atkinson Hyperlegible"/>
                <w:color w:val="FF0000"/>
                <w:szCs w:val="24"/>
              </w:rPr>
            </w:pPr>
          </w:p>
        </w:tc>
        <w:tc>
          <w:tcPr>
            <w:tcW w:w="4466" w:type="pct"/>
            <w:gridSpan w:val="2"/>
          </w:tcPr>
          <w:p w14:paraId="1129FD1C" w14:textId="2124E85A" w:rsidR="00122617" w:rsidRDefault="00076790" w:rsidP="00A43D4B">
            <w:pPr>
              <w:rPr>
                <w:rFonts w:ascii="Atkinson Hyperlegible" w:hAnsi="Atkinson Hyperlegible" w:cs="Arial"/>
                <w:b/>
                <w:bCs/>
              </w:rPr>
            </w:pPr>
            <w:r>
              <w:rPr>
                <w:rFonts w:ascii="Atkinson Hyperlegible" w:hAnsi="Atkinson Hyperlegible" w:cs="Arial"/>
                <w:b/>
                <w:bCs/>
              </w:rPr>
              <w:t xml:space="preserve">Overdue </w:t>
            </w:r>
            <w:r w:rsidR="00F35D99">
              <w:rPr>
                <w:rFonts w:ascii="Atkinson Hyperlegible" w:hAnsi="Atkinson Hyperlegible" w:cs="Arial"/>
                <w:b/>
                <w:bCs/>
              </w:rPr>
              <w:t>Risk Assessment</w:t>
            </w:r>
            <w:r w:rsidR="001B4292">
              <w:rPr>
                <w:rFonts w:ascii="Atkinson Hyperlegible" w:hAnsi="Atkinson Hyperlegible" w:cs="Arial"/>
                <w:b/>
                <w:bCs/>
              </w:rPr>
              <w:t>s</w:t>
            </w:r>
          </w:p>
          <w:p w14:paraId="4C0BC0CD" w14:textId="4B3301A1" w:rsidR="000F5140" w:rsidRPr="00122617" w:rsidRDefault="006D798F" w:rsidP="00A43D4B">
            <w:pPr>
              <w:rPr>
                <w:rFonts w:ascii="Atkinson Hyperlegible" w:hAnsi="Atkinson Hyperlegible" w:cs="Arial"/>
                <w:b/>
                <w:bCs/>
              </w:rPr>
            </w:pPr>
            <w:r w:rsidRPr="006D798F">
              <w:rPr>
                <w:rFonts w:ascii="Atkinson Hyperlegible" w:hAnsi="Atkinson Hyperlegible" w:cs="Arial"/>
              </w:rPr>
              <w:t>A</w:t>
            </w:r>
            <w:r w:rsidR="00385561">
              <w:rPr>
                <w:rFonts w:ascii="Atkinson Hyperlegible" w:hAnsi="Atkinson Hyperlegible" w:cs="Arial"/>
              </w:rPr>
              <w:t xml:space="preserve">s above the </w:t>
            </w:r>
            <w:r w:rsidR="00122617">
              <w:rPr>
                <w:rFonts w:ascii="Atkinson Hyperlegible" w:hAnsi="Atkinson Hyperlegible" w:cs="Arial"/>
              </w:rPr>
              <w:t xml:space="preserve">January </w:t>
            </w:r>
            <w:r w:rsidR="001B4292">
              <w:rPr>
                <w:rFonts w:ascii="Atkinson Hyperlegible" w:hAnsi="Atkinson Hyperlegible" w:cs="Arial"/>
              </w:rPr>
              <w:t xml:space="preserve">2024 </w:t>
            </w:r>
            <w:r w:rsidR="00385561">
              <w:rPr>
                <w:rFonts w:ascii="Atkinson Hyperlegible" w:hAnsi="Atkinson Hyperlegible" w:cs="Arial"/>
              </w:rPr>
              <w:t xml:space="preserve">audit found that </w:t>
            </w:r>
            <w:r w:rsidR="00E72E18">
              <w:rPr>
                <w:rFonts w:ascii="Atkinson Hyperlegible" w:hAnsi="Atkinson Hyperlegible" w:cs="Arial"/>
              </w:rPr>
              <w:t>there were 4</w:t>
            </w:r>
            <w:r w:rsidR="00122617">
              <w:rPr>
                <w:rFonts w:ascii="Atkinson Hyperlegible" w:hAnsi="Atkinson Hyperlegible" w:cs="Arial"/>
              </w:rPr>
              <w:t>2</w:t>
            </w:r>
            <w:r w:rsidR="00E72E18">
              <w:rPr>
                <w:rFonts w:ascii="Atkinson Hyperlegible" w:hAnsi="Atkinson Hyperlegible" w:cs="Arial"/>
              </w:rPr>
              <w:t xml:space="preserve"> overdue risk assessments </w:t>
            </w:r>
            <w:r w:rsidR="00FE3695">
              <w:rPr>
                <w:rFonts w:ascii="Atkinson Hyperlegible" w:hAnsi="Atkinson Hyperlegible" w:cs="Arial"/>
              </w:rPr>
              <w:t>on 4</w:t>
            </w:r>
            <w:r w:rsidR="00FE3695" w:rsidRPr="00FE3695">
              <w:rPr>
                <w:rFonts w:ascii="Atkinson Hyperlegible" w:hAnsi="Atkinson Hyperlegible" w:cs="Arial"/>
                <w:vertAlign w:val="superscript"/>
              </w:rPr>
              <w:t>th</w:t>
            </w:r>
            <w:r w:rsidR="00FE3695">
              <w:rPr>
                <w:rFonts w:ascii="Atkinson Hyperlegible" w:hAnsi="Atkinson Hyperlegible" w:cs="Arial"/>
              </w:rPr>
              <w:t xml:space="preserve"> January </w:t>
            </w:r>
            <w:r w:rsidR="00122617">
              <w:rPr>
                <w:rFonts w:ascii="Atkinson Hyperlegible" w:hAnsi="Atkinson Hyperlegible" w:cs="Arial"/>
              </w:rPr>
              <w:t xml:space="preserve">with </w:t>
            </w:r>
            <w:r w:rsidR="00367C76">
              <w:rPr>
                <w:rFonts w:ascii="Atkinson Hyperlegible" w:hAnsi="Atkinson Hyperlegible" w:cs="Arial"/>
              </w:rPr>
              <w:t>1</w:t>
            </w:r>
            <w:r w:rsidR="001D1202">
              <w:rPr>
                <w:rFonts w:ascii="Atkinson Hyperlegible" w:hAnsi="Atkinson Hyperlegible" w:cs="Arial"/>
              </w:rPr>
              <w:t>8</w:t>
            </w:r>
            <w:r w:rsidR="00367C76">
              <w:rPr>
                <w:rFonts w:ascii="Atkinson Hyperlegible" w:hAnsi="Atkinson Hyperlegible" w:cs="Arial"/>
              </w:rPr>
              <w:t xml:space="preserve"> over 90 days </w:t>
            </w:r>
            <w:r w:rsidR="00CA3959">
              <w:rPr>
                <w:rFonts w:ascii="Atkinson Hyperlegible" w:hAnsi="Atkinson Hyperlegible" w:cs="Arial"/>
              </w:rPr>
              <w:t xml:space="preserve">and 4 unassigned. The February audit </w:t>
            </w:r>
            <w:r w:rsidR="007C5AEC">
              <w:rPr>
                <w:rFonts w:ascii="Atkinson Hyperlegible" w:hAnsi="Atkinson Hyperlegible" w:cs="Arial"/>
              </w:rPr>
              <w:t>show</w:t>
            </w:r>
            <w:r w:rsidR="001B4292">
              <w:rPr>
                <w:rFonts w:ascii="Atkinson Hyperlegible" w:hAnsi="Atkinson Hyperlegible" w:cs="Arial"/>
              </w:rPr>
              <w:t>ed</w:t>
            </w:r>
            <w:r w:rsidR="007C5AEC">
              <w:rPr>
                <w:rFonts w:ascii="Atkinson Hyperlegible" w:hAnsi="Atkinson Hyperlegible" w:cs="Arial"/>
              </w:rPr>
              <w:t xml:space="preserve"> 43 risk assessments over due </w:t>
            </w:r>
            <w:r w:rsidR="00C11365">
              <w:rPr>
                <w:rFonts w:ascii="Atkinson Hyperlegible" w:hAnsi="Atkinson Hyperlegible" w:cs="Arial"/>
              </w:rPr>
              <w:t xml:space="preserve">14 over 90 days </w:t>
            </w:r>
            <w:proofErr w:type="gramStart"/>
            <w:r w:rsidR="00C11365">
              <w:rPr>
                <w:rFonts w:ascii="Atkinson Hyperlegible" w:hAnsi="Atkinson Hyperlegible" w:cs="Arial"/>
              </w:rPr>
              <w:t xml:space="preserve">and </w:t>
            </w:r>
            <w:r w:rsidR="001D6FCF">
              <w:rPr>
                <w:rFonts w:ascii="Atkinson Hyperlegible" w:hAnsi="Atkinson Hyperlegible" w:cs="Arial"/>
              </w:rPr>
              <w:t xml:space="preserve"> 7</w:t>
            </w:r>
            <w:proofErr w:type="gramEnd"/>
            <w:r w:rsidR="001D6FCF">
              <w:rPr>
                <w:rFonts w:ascii="Atkinson Hyperlegible" w:hAnsi="Atkinson Hyperlegible" w:cs="Arial"/>
              </w:rPr>
              <w:t xml:space="preserve"> unassigned, however the same issue has occurred </w:t>
            </w:r>
            <w:r w:rsidR="00444F44">
              <w:rPr>
                <w:rFonts w:ascii="Atkinson Hyperlegible" w:hAnsi="Atkinson Hyperlegible" w:cs="Arial"/>
              </w:rPr>
              <w:t xml:space="preserve">where </w:t>
            </w:r>
            <w:r w:rsidR="001D6FCF">
              <w:rPr>
                <w:rFonts w:ascii="Atkinson Hyperlegible" w:hAnsi="Atkinson Hyperlegible" w:cs="Arial"/>
              </w:rPr>
              <w:t xml:space="preserve">the 2 oldest overdue risk assessments </w:t>
            </w:r>
            <w:r w:rsidR="00DF26C8">
              <w:rPr>
                <w:rFonts w:ascii="Atkinson Hyperlegible" w:hAnsi="Atkinson Hyperlegible" w:cs="Arial"/>
              </w:rPr>
              <w:t>do not appear on the January list</w:t>
            </w:r>
            <w:r w:rsidR="00486144">
              <w:rPr>
                <w:rFonts w:ascii="Atkinson Hyperlegible" w:hAnsi="Atkinson Hyperlegible" w:cs="Arial"/>
              </w:rPr>
              <w:t>. The performance team is looking into this</w:t>
            </w:r>
            <w:r w:rsidR="00A94420">
              <w:rPr>
                <w:rFonts w:ascii="Atkinson Hyperlegible" w:hAnsi="Atkinson Hyperlegible" w:cs="Arial"/>
              </w:rPr>
              <w:t xml:space="preserve"> also.</w:t>
            </w:r>
          </w:p>
          <w:p w14:paraId="644E03C7" w14:textId="517DF256" w:rsidR="006D798F" w:rsidRPr="002858FB" w:rsidRDefault="006D798F" w:rsidP="00A43D4B">
            <w:pPr>
              <w:rPr>
                <w:rFonts w:ascii="Atkinson Hyperlegible" w:hAnsi="Atkinson Hyperlegible" w:cs="Arial"/>
                <w:color w:val="FF0000"/>
              </w:rPr>
            </w:pPr>
            <w:r w:rsidRPr="006D798F">
              <w:rPr>
                <w:rFonts w:ascii="Atkinson Hyperlegible" w:hAnsi="Atkinson Hyperlegible" w:cs="Arial"/>
                <w:noProof/>
                <w:color w:val="FF0000"/>
              </w:rPr>
              <w:drawing>
                <wp:inline distT="0" distB="0" distL="0" distR="0" wp14:anchorId="67C6B8C3" wp14:editId="0C3841CA">
                  <wp:extent cx="3393373" cy="2587752"/>
                  <wp:effectExtent l="0" t="0" r="0" b="3175"/>
                  <wp:docPr id="1010467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67337" name=""/>
                          <pic:cNvPicPr/>
                        </pic:nvPicPr>
                        <pic:blipFill>
                          <a:blip r:embed="rId17"/>
                          <a:stretch>
                            <a:fillRect/>
                          </a:stretch>
                        </pic:blipFill>
                        <pic:spPr>
                          <a:xfrm>
                            <a:off x="0" y="0"/>
                            <a:ext cx="3406263" cy="2597582"/>
                          </a:xfrm>
                          <a:prstGeom prst="rect">
                            <a:avLst/>
                          </a:prstGeom>
                        </pic:spPr>
                      </pic:pic>
                    </a:graphicData>
                  </a:graphic>
                </wp:inline>
              </w:drawing>
            </w:r>
          </w:p>
        </w:tc>
      </w:tr>
      <w:tr w:rsidR="0065187F" w:rsidRPr="0065187F" w14:paraId="6801FEF6" w14:textId="77777777" w:rsidTr="005E4608">
        <w:trPr>
          <w:trHeight w:val="319"/>
          <w:tblCellSpacing w:w="11" w:type="dxa"/>
        </w:trPr>
        <w:tc>
          <w:tcPr>
            <w:tcW w:w="499" w:type="pct"/>
          </w:tcPr>
          <w:p w14:paraId="15FF173B" w14:textId="77777777" w:rsidR="000F5140" w:rsidRPr="0065187F" w:rsidRDefault="000F5140">
            <w:pPr>
              <w:pStyle w:val="ReportHead2"/>
              <w:keepNext w:val="0"/>
              <w:tabs>
                <w:tab w:val="num" w:pos="714"/>
              </w:tabs>
              <w:rPr>
                <w:rFonts w:ascii="Atkinson Hyperlegible" w:hAnsi="Atkinson Hyperlegible"/>
                <w:szCs w:val="24"/>
              </w:rPr>
            </w:pPr>
          </w:p>
        </w:tc>
        <w:tc>
          <w:tcPr>
            <w:tcW w:w="4466" w:type="pct"/>
            <w:gridSpan w:val="2"/>
          </w:tcPr>
          <w:p w14:paraId="0BDE1209" w14:textId="155E39EC" w:rsidR="00DA45BB" w:rsidRPr="00DA45BB" w:rsidRDefault="00EB3837" w:rsidP="007E70CB">
            <w:pPr>
              <w:tabs>
                <w:tab w:val="num" w:pos="714"/>
              </w:tabs>
              <w:rPr>
                <w:rFonts w:ascii="Atkinson Hyperlegible" w:hAnsi="Atkinson Hyperlegible" w:cs="Arial"/>
                <w:b/>
                <w:bCs/>
              </w:rPr>
            </w:pPr>
            <w:r>
              <w:rPr>
                <w:rFonts w:ascii="Atkinson Hyperlegible" w:hAnsi="Atkinson Hyperlegible" w:cs="Arial"/>
                <w:b/>
                <w:bCs/>
              </w:rPr>
              <w:t xml:space="preserve">Overdue </w:t>
            </w:r>
            <w:r w:rsidR="00DA45BB" w:rsidRPr="00DA45BB">
              <w:rPr>
                <w:rFonts w:ascii="Atkinson Hyperlegible" w:hAnsi="Atkinson Hyperlegible" w:cs="Arial"/>
                <w:b/>
                <w:bCs/>
              </w:rPr>
              <w:t>Occupational Therapy</w:t>
            </w:r>
            <w:r w:rsidR="00A85B13">
              <w:rPr>
                <w:rFonts w:ascii="Atkinson Hyperlegible" w:hAnsi="Atkinson Hyperlegible" w:cs="Arial"/>
                <w:b/>
                <w:bCs/>
              </w:rPr>
              <w:t xml:space="preserve"> </w:t>
            </w:r>
            <w:r>
              <w:rPr>
                <w:rFonts w:ascii="Atkinson Hyperlegible" w:hAnsi="Atkinson Hyperlegible" w:cs="Arial"/>
                <w:b/>
                <w:bCs/>
              </w:rPr>
              <w:t>Assessments</w:t>
            </w:r>
          </w:p>
          <w:p w14:paraId="762AEE39" w14:textId="5D68DE45" w:rsidR="00C171E4" w:rsidRPr="0065187F" w:rsidRDefault="009E1B1A" w:rsidP="00530843">
            <w:pPr>
              <w:tabs>
                <w:tab w:val="num" w:pos="714"/>
              </w:tabs>
              <w:rPr>
                <w:rFonts w:ascii="Atkinson Hyperlegible" w:hAnsi="Atkinson Hyperlegible" w:cs="Arial"/>
              </w:rPr>
            </w:pPr>
            <w:r w:rsidRPr="0065187F">
              <w:rPr>
                <w:rFonts w:ascii="Atkinson Hyperlegible" w:hAnsi="Atkinson Hyperlegible" w:cs="Arial"/>
              </w:rPr>
              <w:t xml:space="preserve">Between </w:t>
            </w:r>
            <w:r w:rsidR="001B4292">
              <w:rPr>
                <w:rFonts w:ascii="Atkinson Hyperlegible" w:hAnsi="Atkinson Hyperlegible" w:cs="Arial"/>
              </w:rPr>
              <w:t>September and December 2023,</w:t>
            </w:r>
            <w:r w:rsidR="00563126" w:rsidRPr="0065187F">
              <w:rPr>
                <w:rFonts w:ascii="Atkinson Hyperlegible" w:hAnsi="Atkinson Hyperlegible" w:cs="Arial"/>
              </w:rPr>
              <w:t xml:space="preserve"> the OT service received 299 new referrals</w:t>
            </w:r>
            <w:r w:rsidR="001B4292">
              <w:rPr>
                <w:rFonts w:ascii="Atkinson Hyperlegible" w:hAnsi="Atkinson Hyperlegible" w:cs="Arial"/>
              </w:rPr>
              <w:t>.  D</w:t>
            </w:r>
            <w:r w:rsidR="00D1353D" w:rsidRPr="0065187F">
              <w:rPr>
                <w:rFonts w:ascii="Atkinson Hyperlegible" w:hAnsi="Atkinson Hyperlegible" w:cs="Arial"/>
              </w:rPr>
              <w:t>espite this high demand</w:t>
            </w:r>
            <w:r w:rsidR="00A4361C" w:rsidRPr="0065187F">
              <w:rPr>
                <w:rFonts w:ascii="Atkinson Hyperlegible" w:hAnsi="Atkinson Hyperlegible" w:cs="Arial"/>
              </w:rPr>
              <w:t xml:space="preserve"> the</w:t>
            </w:r>
            <w:r w:rsidR="001B4292">
              <w:rPr>
                <w:rFonts w:ascii="Atkinson Hyperlegible" w:hAnsi="Atkinson Hyperlegible" w:cs="Arial"/>
              </w:rPr>
              <w:t xml:space="preserve"> number of</w:t>
            </w:r>
            <w:r w:rsidR="00A4361C" w:rsidRPr="0065187F">
              <w:rPr>
                <w:rFonts w:ascii="Atkinson Hyperlegible" w:hAnsi="Atkinson Hyperlegible" w:cs="Arial"/>
              </w:rPr>
              <w:t xml:space="preserve"> overdue assessments </w:t>
            </w:r>
            <w:proofErr w:type="gramStart"/>
            <w:r w:rsidR="00A4361C" w:rsidRPr="0065187F">
              <w:rPr>
                <w:rFonts w:ascii="Atkinson Hyperlegible" w:hAnsi="Atkinson Hyperlegible" w:cs="Arial"/>
              </w:rPr>
              <w:t>are</w:t>
            </w:r>
            <w:proofErr w:type="gramEnd"/>
            <w:r w:rsidR="00A4361C" w:rsidRPr="0065187F">
              <w:rPr>
                <w:rFonts w:ascii="Atkinson Hyperlegible" w:hAnsi="Atkinson Hyperlegible" w:cs="Arial"/>
              </w:rPr>
              <w:t xml:space="preserve"> still decreasing</w:t>
            </w:r>
            <w:r w:rsidR="005B3418" w:rsidRPr="0065187F">
              <w:rPr>
                <w:rFonts w:ascii="Atkinson Hyperlegible" w:hAnsi="Atkinson Hyperlegible" w:cs="Arial"/>
              </w:rPr>
              <w:t xml:space="preserve"> each month.</w:t>
            </w:r>
            <w:r w:rsidR="00C4121A" w:rsidRPr="0065187F">
              <w:rPr>
                <w:rFonts w:ascii="Atkinson Hyperlegible" w:hAnsi="Atkinson Hyperlegible" w:cs="Arial"/>
              </w:rPr>
              <w:t xml:space="preserve"> In the same period a total of 1</w:t>
            </w:r>
            <w:r w:rsidR="001B4292">
              <w:rPr>
                <w:rFonts w:ascii="Atkinson Hyperlegible" w:hAnsi="Atkinson Hyperlegible" w:cs="Arial"/>
              </w:rPr>
              <w:t>,</w:t>
            </w:r>
            <w:r w:rsidR="00C4121A" w:rsidRPr="0065187F">
              <w:rPr>
                <w:rFonts w:ascii="Atkinson Hyperlegible" w:hAnsi="Atkinson Hyperlegible" w:cs="Arial"/>
              </w:rPr>
              <w:t xml:space="preserve">031 assessments have been included across all OT areas. </w:t>
            </w:r>
          </w:p>
        </w:tc>
      </w:tr>
      <w:tr w:rsidR="00530843" w:rsidRPr="0065187F" w14:paraId="338FAC8A" w14:textId="77777777" w:rsidTr="005E4608">
        <w:trPr>
          <w:trHeight w:val="319"/>
          <w:tblCellSpacing w:w="11" w:type="dxa"/>
        </w:trPr>
        <w:tc>
          <w:tcPr>
            <w:tcW w:w="499" w:type="pct"/>
          </w:tcPr>
          <w:p w14:paraId="7CCC200C" w14:textId="77777777" w:rsidR="00530843" w:rsidRPr="0065187F" w:rsidRDefault="00530843">
            <w:pPr>
              <w:pStyle w:val="ReportHead2"/>
              <w:keepNext w:val="0"/>
              <w:tabs>
                <w:tab w:val="num" w:pos="714"/>
              </w:tabs>
              <w:rPr>
                <w:rFonts w:ascii="Atkinson Hyperlegible" w:hAnsi="Atkinson Hyperlegible"/>
                <w:szCs w:val="24"/>
              </w:rPr>
            </w:pPr>
          </w:p>
        </w:tc>
        <w:tc>
          <w:tcPr>
            <w:tcW w:w="4466" w:type="pct"/>
            <w:gridSpan w:val="2"/>
          </w:tcPr>
          <w:p w14:paraId="3DF67913" w14:textId="795FCE09" w:rsidR="00530843" w:rsidRPr="0065187F" w:rsidRDefault="00890297" w:rsidP="00530843">
            <w:pPr>
              <w:tabs>
                <w:tab w:val="num" w:pos="714"/>
              </w:tabs>
              <w:rPr>
                <w:rFonts w:ascii="Atkinson Hyperlegible" w:hAnsi="Atkinson Hyperlegible" w:cs="Arial"/>
              </w:rPr>
            </w:pPr>
            <w:r w:rsidRPr="00890297">
              <w:rPr>
                <w:rFonts w:ascii="Atkinson Hyperlegible" w:hAnsi="Atkinson Hyperlegible" w:cs="Arial"/>
                <w:noProof/>
              </w:rPr>
              <w:drawing>
                <wp:inline distT="0" distB="0" distL="0" distR="0" wp14:anchorId="6B7020DC" wp14:editId="47A97FD9">
                  <wp:extent cx="3467584" cy="1667108"/>
                  <wp:effectExtent l="0" t="0" r="0" b="9525"/>
                  <wp:docPr id="1239875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75839" name=""/>
                          <pic:cNvPicPr/>
                        </pic:nvPicPr>
                        <pic:blipFill>
                          <a:blip r:embed="rId18"/>
                          <a:stretch>
                            <a:fillRect/>
                          </a:stretch>
                        </pic:blipFill>
                        <pic:spPr>
                          <a:xfrm>
                            <a:off x="0" y="0"/>
                            <a:ext cx="3467584" cy="1667108"/>
                          </a:xfrm>
                          <a:prstGeom prst="rect">
                            <a:avLst/>
                          </a:prstGeom>
                        </pic:spPr>
                      </pic:pic>
                    </a:graphicData>
                  </a:graphic>
                </wp:inline>
              </w:drawing>
            </w:r>
          </w:p>
        </w:tc>
      </w:tr>
      <w:tr w:rsidR="009D14FF" w:rsidRPr="0065187F" w14:paraId="40C3444A" w14:textId="77777777" w:rsidTr="005E4608">
        <w:trPr>
          <w:trHeight w:val="319"/>
          <w:tblCellSpacing w:w="11" w:type="dxa"/>
        </w:trPr>
        <w:tc>
          <w:tcPr>
            <w:tcW w:w="499" w:type="pct"/>
          </w:tcPr>
          <w:p w14:paraId="79A0D62C" w14:textId="77777777" w:rsidR="009D14FF" w:rsidRPr="0065187F" w:rsidRDefault="009D14FF">
            <w:pPr>
              <w:pStyle w:val="ReportHead2"/>
              <w:keepNext w:val="0"/>
              <w:tabs>
                <w:tab w:val="num" w:pos="714"/>
              </w:tabs>
              <w:rPr>
                <w:rFonts w:ascii="Atkinson Hyperlegible" w:hAnsi="Atkinson Hyperlegible"/>
                <w:szCs w:val="24"/>
              </w:rPr>
            </w:pPr>
          </w:p>
        </w:tc>
        <w:tc>
          <w:tcPr>
            <w:tcW w:w="4466" w:type="pct"/>
            <w:gridSpan w:val="2"/>
          </w:tcPr>
          <w:p w14:paraId="2A455464" w14:textId="5B24FE1A" w:rsidR="009D14FF" w:rsidRPr="001D454F" w:rsidRDefault="00530843" w:rsidP="007E70CB">
            <w:pPr>
              <w:tabs>
                <w:tab w:val="num" w:pos="714"/>
              </w:tabs>
              <w:rPr>
                <w:rFonts w:ascii="Atkinson Hyperlegible" w:hAnsi="Atkinson Hyperlegible" w:cs="Arial"/>
              </w:rPr>
            </w:pPr>
            <w:r w:rsidRPr="0065187F">
              <w:rPr>
                <w:rFonts w:ascii="Atkinson Hyperlegible" w:hAnsi="Atkinson Hyperlegible" w:cs="Arial"/>
              </w:rPr>
              <w:t>The opening of the new</w:t>
            </w:r>
            <w:r>
              <w:rPr>
                <w:rFonts w:ascii="Atkinson Hyperlegible" w:hAnsi="Atkinson Hyperlegible" w:cs="Arial"/>
              </w:rPr>
              <w:t xml:space="preserve"> Somerset Independent Living Centre</w:t>
            </w:r>
            <w:r w:rsidRPr="0065187F">
              <w:rPr>
                <w:rFonts w:ascii="Atkinson Hyperlegible" w:hAnsi="Atkinson Hyperlegible" w:cs="Arial"/>
              </w:rPr>
              <w:t xml:space="preserve"> </w:t>
            </w:r>
            <w:r>
              <w:rPr>
                <w:rFonts w:ascii="Atkinson Hyperlegible" w:hAnsi="Atkinson Hyperlegible" w:cs="Arial"/>
              </w:rPr>
              <w:t>(</w:t>
            </w:r>
            <w:r w:rsidRPr="0065187F">
              <w:rPr>
                <w:rFonts w:ascii="Atkinson Hyperlegible" w:hAnsi="Atkinson Hyperlegible" w:cs="Arial"/>
              </w:rPr>
              <w:t>SILC</w:t>
            </w:r>
            <w:r>
              <w:rPr>
                <w:rFonts w:ascii="Atkinson Hyperlegible" w:hAnsi="Atkinson Hyperlegible" w:cs="Arial"/>
              </w:rPr>
              <w:t>)</w:t>
            </w:r>
            <w:r w:rsidRPr="0065187F">
              <w:rPr>
                <w:rFonts w:ascii="Atkinson Hyperlegible" w:hAnsi="Atkinson Hyperlegible" w:cs="Arial"/>
              </w:rPr>
              <w:t xml:space="preserve"> in Yeovil has opened capacity for further </w:t>
            </w:r>
            <w:r w:rsidR="001B4292">
              <w:rPr>
                <w:rFonts w:ascii="Atkinson Hyperlegible" w:hAnsi="Atkinson Hyperlegible" w:cs="Arial"/>
              </w:rPr>
              <w:t>i</w:t>
            </w:r>
            <w:r w:rsidRPr="0065187F">
              <w:rPr>
                <w:rFonts w:ascii="Atkinson Hyperlegible" w:hAnsi="Atkinson Hyperlegible" w:cs="Arial"/>
              </w:rPr>
              <w:t>mprovement. Assessments which have been overdue for over 365 days have been substantially reduced and as at the end of Jan</w:t>
            </w:r>
            <w:r w:rsidR="001B4292">
              <w:rPr>
                <w:rFonts w:ascii="Atkinson Hyperlegible" w:hAnsi="Atkinson Hyperlegible" w:cs="Arial"/>
              </w:rPr>
              <w:t xml:space="preserve">uary 2024 </w:t>
            </w:r>
            <w:r w:rsidRPr="0065187F">
              <w:rPr>
                <w:rFonts w:ascii="Atkinson Hyperlegible" w:hAnsi="Atkinson Hyperlegible" w:cs="Arial"/>
              </w:rPr>
              <w:t>only 5 people are still waiting for their assessments, with 2 of these already allocated to a worker.</w:t>
            </w:r>
          </w:p>
        </w:tc>
      </w:tr>
      <w:tr w:rsidR="00D2736E" w:rsidRPr="0065187F" w14:paraId="2EA453D8" w14:textId="77777777" w:rsidTr="005E4608">
        <w:trPr>
          <w:trHeight w:val="319"/>
          <w:tblCellSpacing w:w="11" w:type="dxa"/>
        </w:trPr>
        <w:tc>
          <w:tcPr>
            <w:tcW w:w="499" w:type="pct"/>
          </w:tcPr>
          <w:p w14:paraId="0735DCEC" w14:textId="77777777" w:rsidR="00D2736E" w:rsidRPr="0065187F" w:rsidRDefault="00D2736E">
            <w:pPr>
              <w:pStyle w:val="ReportHead2"/>
              <w:keepNext w:val="0"/>
              <w:tabs>
                <w:tab w:val="num" w:pos="714"/>
              </w:tabs>
              <w:rPr>
                <w:rFonts w:ascii="Atkinson Hyperlegible" w:hAnsi="Atkinson Hyperlegible"/>
                <w:szCs w:val="24"/>
              </w:rPr>
            </w:pPr>
          </w:p>
        </w:tc>
        <w:tc>
          <w:tcPr>
            <w:tcW w:w="4466" w:type="pct"/>
            <w:gridSpan w:val="2"/>
          </w:tcPr>
          <w:p w14:paraId="3868FC50" w14:textId="50B61DF6" w:rsidR="00D2736E" w:rsidRPr="00DA45BB" w:rsidRDefault="00D2736E" w:rsidP="007E70CB">
            <w:pPr>
              <w:tabs>
                <w:tab w:val="num" w:pos="714"/>
              </w:tabs>
              <w:rPr>
                <w:rFonts w:ascii="Atkinson Hyperlegible" w:hAnsi="Atkinson Hyperlegible" w:cs="Arial"/>
                <w:b/>
                <w:bCs/>
              </w:rPr>
            </w:pPr>
            <w:r>
              <w:rPr>
                <w:rFonts w:ascii="Atkinson Hyperlegible" w:hAnsi="Atkinson Hyperlegible" w:cs="Arial"/>
              </w:rPr>
              <w:t>OT data Validation is ongoing as some of the data anomalies have still not been resolved</w:t>
            </w:r>
            <w:r w:rsidR="001B4292">
              <w:rPr>
                <w:rFonts w:ascii="Atkinson Hyperlegible" w:hAnsi="Atkinson Hyperlegible" w:cs="Arial"/>
              </w:rPr>
              <w:t>.</w:t>
            </w:r>
            <w:r>
              <w:rPr>
                <w:rFonts w:ascii="Atkinson Hyperlegible" w:hAnsi="Atkinson Hyperlegible" w:cs="Arial"/>
              </w:rPr>
              <w:t xml:space="preserve"> However</w:t>
            </w:r>
            <w:r w:rsidR="001B4292">
              <w:rPr>
                <w:rFonts w:ascii="Atkinson Hyperlegible" w:hAnsi="Atkinson Hyperlegible" w:cs="Arial"/>
              </w:rPr>
              <w:t>,</w:t>
            </w:r>
            <w:r>
              <w:rPr>
                <w:rFonts w:ascii="Atkinson Hyperlegible" w:hAnsi="Atkinson Hyperlegible" w:cs="Arial"/>
              </w:rPr>
              <w:t xml:space="preserve"> Moving and Handling assessments have now been separated into 2 forms which will improve data reporting</w:t>
            </w:r>
            <w:r w:rsidR="001D454F">
              <w:rPr>
                <w:rFonts w:ascii="Atkinson Hyperlegible" w:hAnsi="Atkinson Hyperlegible" w:cs="Arial"/>
              </w:rPr>
              <w:t>.</w:t>
            </w:r>
          </w:p>
        </w:tc>
      </w:tr>
      <w:tr w:rsidR="00104F60" w:rsidRPr="002858FB" w14:paraId="66CE5DF2" w14:textId="77777777" w:rsidTr="005E4608">
        <w:trPr>
          <w:trHeight w:val="319"/>
          <w:tblCellSpacing w:w="11" w:type="dxa"/>
        </w:trPr>
        <w:tc>
          <w:tcPr>
            <w:tcW w:w="499" w:type="pct"/>
          </w:tcPr>
          <w:p w14:paraId="005D556E" w14:textId="202E811D" w:rsidR="00104F60" w:rsidRPr="002858FB" w:rsidRDefault="00104F60" w:rsidP="00104F60">
            <w:pPr>
              <w:pStyle w:val="ReportHead2"/>
              <w:keepNext w:val="0"/>
              <w:tabs>
                <w:tab w:val="num" w:pos="714"/>
              </w:tabs>
              <w:rPr>
                <w:rFonts w:ascii="Atkinson Hyperlegible" w:hAnsi="Atkinson Hyperlegible"/>
                <w:color w:val="FF0000"/>
                <w:szCs w:val="24"/>
              </w:rPr>
            </w:pPr>
            <w:r w:rsidRPr="002858FB">
              <w:rPr>
                <w:rFonts w:ascii="Atkinson Hyperlegible" w:hAnsi="Atkinson Hyperlegible"/>
                <w:color w:val="FF0000"/>
                <w:szCs w:val="24"/>
              </w:rPr>
              <w:tab/>
            </w:r>
            <w:r w:rsidRPr="002858FB">
              <w:rPr>
                <w:rFonts w:ascii="Atkinson Hyperlegible" w:hAnsi="Atkinson Hyperlegible"/>
                <w:color w:val="FF0000"/>
                <w:szCs w:val="24"/>
              </w:rPr>
              <w:tab/>
            </w:r>
          </w:p>
        </w:tc>
        <w:tc>
          <w:tcPr>
            <w:tcW w:w="4466" w:type="pct"/>
            <w:gridSpan w:val="2"/>
          </w:tcPr>
          <w:p w14:paraId="13FAC3CA" w14:textId="77777777" w:rsidR="005303CE" w:rsidRPr="005303CE" w:rsidRDefault="005303CE" w:rsidP="00104F60">
            <w:pPr>
              <w:tabs>
                <w:tab w:val="num" w:pos="714"/>
              </w:tabs>
              <w:rPr>
                <w:rFonts w:ascii="Atkinson Hyperlegible" w:hAnsi="Atkinson Hyperlegible" w:cs="Arial"/>
                <w:b/>
                <w:bCs/>
              </w:rPr>
            </w:pPr>
            <w:r w:rsidRPr="005303CE">
              <w:rPr>
                <w:rFonts w:ascii="Atkinson Hyperlegible" w:hAnsi="Atkinson Hyperlegible" w:cs="Arial"/>
                <w:b/>
                <w:bCs/>
              </w:rPr>
              <w:t>Assessments Completed</w:t>
            </w:r>
          </w:p>
          <w:p w14:paraId="17A317A2" w14:textId="24B8D744" w:rsidR="00104F60" w:rsidRPr="002858FB" w:rsidRDefault="00104F60" w:rsidP="00104F60">
            <w:pPr>
              <w:tabs>
                <w:tab w:val="num" w:pos="714"/>
              </w:tabs>
              <w:rPr>
                <w:rFonts w:cs="Arial"/>
                <w:color w:val="FF0000"/>
              </w:rPr>
            </w:pPr>
            <w:r>
              <w:rPr>
                <w:rFonts w:ascii="Atkinson Hyperlegible" w:hAnsi="Atkinson Hyperlegible" w:cs="Arial"/>
              </w:rPr>
              <w:t xml:space="preserve">All teams have increased the number of all assessments completed this quarter, compared to last quarter. This quarter has been the first full reporting period with the teams in their new neighbourhood formations. This may indicate that the </w:t>
            </w:r>
            <w:r>
              <w:rPr>
                <w:rFonts w:ascii="Atkinson Hyperlegible" w:hAnsi="Atkinson Hyperlegible" w:cs="Arial"/>
              </w:rPr>
              <w:lastRenderedPageBreak/>
              <w:t>smaller team focus is leading to increased productivity but this will continue to be monitored</w:t>
            </w:r>
            <w:r w:rsidR="001D454F">
              <w:rPr>
                <w:rFonts w:ascii="Atkinson Hyperlegible" w:hAnsi="Atkinson Hyperlegible" w:cs="Arial"/>
              </w:rPr>
              <w:t>.</w:t>
            </w:r>
          </w:p>
        </w:tc>
      </w:tr>
      <w:tr w:rsidR="00104F60" w:rsidRPr="002858FB" w14:paraId="45675248" w14:textId="77777777" w:rsidTr="005E4608">
        <w:trPr>
          <w:trHeight w:val="319"/>
          <w:tblCellSpacing w:w="11" w:type="dxa"/>
        </w:trPr>
        <w:tc>
          <w:tcPr>
            <w:tcW w:w="499" w:type="pct"/>
          </w:tcPr>
          <w:p w14:paraId="4531F01E" w14:textId="076A1A08" w:rsidR="00104F60" w:rsidRPr="00CB797B" w:rsidRDefault="00104F60" w:rsidP="00104F60">
            <w:pPr>
              <w:pStyle w:val="ReportHead2"/>
              <w:keepNext w:val="0"/>
              <w:tabs>
                <w:tab w:val="num" w:pos="714"/>
              </w:tabs>
              <w:rPr>
                <w:rFonts w:ascii="Atkinson Hyperlegible" w:hAnsi="Atkinson Hyperlegible"/>
                <w:szCs w:val="24"/>
              </w:rPr>
            </w:pPr>
            <w:r w:rsidRPr="00CB797B">
              <w:rPr>
                <w:rFonts w:ascii="Atkinson Hyperlegible" w:hAnsi="Atkinson Hyperlegible"/>
                <w:szCs w:val="24"/>
              </w:rPr>
              <w:lastRenderedPageBreak/>
              <w:tab/>
            </w:r>
          </w:p>
        </w:tc>
        <w:tc>
          <w:tcPr>
            <w:tcW w:w="4466" w:type="pct"/>
            <w:gridSpan w:val="2"/>
          </w:tcPr>
          <w:p w14:paraId="0A1B6523" w14:textId="7B82E73F" w:rsidR="00104F60" w:rsidRPr="00CB797B" w:rsidRDefault="00104F60" w:rsidP="00104F60">
            <w:pPr>
              <w:rPr>
                <w:rFonts w:cs="Arial"/>
                <w:b/>
                <w:bCs/>
                <w:sz w:val="20"/>
                <w:szCs w:val="20"/>
                <w:u w:val="single"/>
              </w:rPr>
            </w:pPr>
            <w:r w:rsidRPr="00CB797B">
              <w:rPr>
                <w:rFonts w:cs="Arial"/>
                <w:b/>
                <w:bCs/>
                <w:sz w:val="20"/>
                <w:szCs w:val="20"/>
                <w:u w:val="single"/>
              </w:rPr>
              <w:t xml:space="preserve">Table 2: Number of assessments </w:t>
            </w:r>
            <w:proofErr w:type="gramStart"/>
            <w:r w:rsidRPr="00CB797B">
              <w:rPr>
                <w:rFonts w:cs="Arial"/>
                <w:b/>
                <w:bCs/>
                <w:sz w:val="20"/>
                <w:szCs w:val="20"/>
                <w:u w:val="single"/>
              </w:rPr>
              <w:t>completed</w:t>
            </w:r>
            <w:proofErr w:type="gramEnd"/>
            <w:r w:rsidRPr="00CB797B">
              <w:rPr>
                <w:rFonts w:cs="Arial"/>
                <w:b/>
                <w:bCs/>
                <w:sz w:val="20"/>
                <w:szCs w:val="20"/>
                <w:u w:val="single"/>
              </w:rPr>
              <w:t xml:space="preserve"> </w:t>
            </w:r>
          </w:p>
          <w:tbl>
            <w:tblPr>
              <w:tblStyle w:val="TableGrid"/>
              <w:tblW w:w="0" w:type="auto"/>
              <w:tblLook w:val="04A0" w:firstRow="1" w:lastRow="0" w:firstColumn="1" w:lastColumn="0" w:noHBand="0" w:noVBand="1"/>
            </w:tblPr>
            <w:tblGrid>
              <w:gridCol w:w="2419"/>
              <w:gridCol w:w="2419"/>
              <w:gridCol w:w="2419"/>
            </w:tblGrid>
            <w:tr w:rsidR="00104F60" w:rsidRPr="00CB797B" w14:paraId="65D1D344" w14:textId="77777777" w:rsidTr="00BD6EAE">
              <w:trPr>
                <w:trHeight w:val="851"/>
              </w:trPr>
              <w:tc>
                <w:tcPr>
                  <w:tcW w:w="2419" w:type="dxa"/>
                </w:tcPr>
                <w:p w14:paraId="5803A896" w14:textId="77777777" w:rsidR="00104F60" w:rsidRPr="00CB797B" w:rsidRDefault="00104F60" w:rsidP="00104F60">
                  <w:pPr>
                    <w:jc w:val="center"/>
                    <w:rPr>
                      <w:rFonts w:cs="Arial"/>
                      <w:b/>
                      <w:bCs/>
                    </w:rPr>
                  </w:pPr>
                </w:p>
                <w:p w14:paraId="1F67572A" w14:textId="5AD924C5" w:rsidR="00104F60" w:rsidRPr="00E22EE1" w:rsidRDefault="00E22EE1" w:rsidP="00104F60">
                  <w:pPr>
                    <w:jc w:val="center"/>
                    <w:rPr>
                      <w:rFonts w:cs="Arial"/>
                      <w:b/>
                      <w:bCs/>
                    </w:rPr>
                  </w:pPr>
                  <w:r w:rsidRPr="00E22EE1">
                    <w:rPr>
                      <w:rFonts w:ascii="Atkinson Hyperlegible" w:hAnsi="Atkinson Hyperlegible" w:cs="Arial"/>
                      <w:b/>
                      <w:bCs/>
                    </w:rPr>
                    <w:t>Teams</w:t>
                  </w:r>
                </w:p>
              </w:tc>
              <w:tc>
                <w:tcPr>
                  <w:tcW w:w="2419" w:type="dxa"/>
                </w:tcPr>
                <w:p w14:paraId="5A87A379" w14:textId="7EA95081" w:rsidR="00104F60" w:rsidRPr="00CB797B" w:rsidRDefault="00E22EE1" w:rsidP="00104F60">
                  <w:pPr>
                    <w:jc w:val="center"/>
                    <w:rPr>
                      <w:rFonts w:cs="Arial"/>
                      <w:b/>
                      <w:bCs/>
                    </w:rPr>
                  </w:pPr>
                  <w:r>
                    <w:rPr>
                      <w:rFonts w:ascii="Atkinson Hyperlegible" w:hAnsi="Atkinson Hyperlegible" w:cs="Arial"/>
                      <w:b/>
                      <w:bCs/>
                    </w:rPr>
                    <w:t xml:space="preserve">Assessments completed </w:t>
                  </w:r>
                  <w:r w:rsidR="002704F4">
                    <w:rPr>
                      <w:rFonts w:ascii="Atkinson Hyperlegible" w:hAnsi="Atkinson Hyperlegible" w:cs="Arial"/>
                      <w:b/>
                      <w:bCs/>
                    </w:rPr>
                    <w:t xml:space="preserve">from </w:t>
                  </w:r>
                  <w:r>
                    <w:rPr>
                      <w:rFonts w:ascii="Atkinson Hyperlegible" w:hAnsi="Atkinson Hyperlegible" w:cs="Arial"/>
                      <w:b/>
                      <w:bCs/>
                    </w:rPr>
                    <w:t>August</w:t>
                  </w:r>
                  <w:r w:rsidR="002704F4">
                    <w:rPr>
                      <w:rFonts w:ascii="Atkinson Hyperlegible" w:hAnsi="Atkinson Hyperlegible" w:cs="Arial"/>
                      <w:b/>
                      <w:bCs/>
                    </w:rPr>
                    <w:t xml:space="preserve"> to October </w:t>
                  </w:r>
                </w:p>
              </w:tc>
              <w:tc>
                <w:tcPr>
                  <w:tcW w:w="2419" w:type="dxa"/>
                </w:tcPr>
                <w:p w14:paraId="20974229" w14:textId="43BB4ABA" w:rsidR="00104F60" w:rsidRPr="00CB797B" w:rsidRDefault="002704F4" w:rsidP="00104F60">
                  <w:pPr>
                    <w:jc w:val="center"/>
                    <w:rPr>
                      <w:rFonts w:cs="Arial"/>
                      <w:b/>
                      <w:bCs/>
                    </w:rPr>
                  </w:pPr>
                  <w:r>
                    <w:rPr>
                      <w:rFonts w:ascii="Atkinson Hyperlegible" w:hAnsi="Atkinson Hyperlegible" w:cs="Arial"/>
                      <w:b/>
                      <w:bCs/>
                    </w:rPr>
                    <w:t xml:space="preserve">Assessments </w:t>
                  </w:r>
                  <w:r w:rsidR="0079704C">
                    <w:rPr>
                      <w:rFonts w:ascii="Atkinson Hyperlegible" w:hAnsi="Atkinson Hyperlegible" w:cs="Arial"/>
                      <w:b/>
                      <w:bCs/>
                    </w:rPr>
                    <w:t>completed from November to end of Jan</w:t>
                  </w:r>
                </w:p>
              </w:tc>
            </w:tr>
            <w:tr w:rsidR="00104F60" w:rsidRPr="00CB797B" w14:paraId="5F2F5FAF" w14:textId="77777777" w:rsidTr="00BD6EAE">
              <w:trPr>
                <w:trHeight w:val="278"/>
              </w:trPr>
              <w:tc>
                <w:tcPr>
                  <w:tcW w:w="2419" w:type="dxa"/>
                </w:tcPr>
                <w:p w14:paraId="3DA2D6A2" w14:textId="608B4766" w:rsidR="00104F60" w:rsidRPr="00CB797B" w:rsidRDefault="0079704C" w:rsidP="00104F60">
                  <w:pPr>
                    <w:rPr>
                      <w:rFonts w:cs="Arial"/>
                    </w:rPr>
                  </w:pPr>
                  <w:r>
                    <w:rPr>
                      <w:rFonts w:ascii="Atkinson Hyperlegible" w:hAnsi="Atkinson Hyperlegible" w:cs="Arial"/>
                      <w:b/>
                      <w:bCs/>
                    </w:rPr>
                    <w:t xml:space="preserve">Mendip </w:t>
                  </w:r>
                </w:p>
              </w:tc>
              <w:tc>
                <w:tcPr>
                  <w:tcW w:w="2419" w:type="dxa"/>
                </w:tcPr>
                <w:p w14:paraId="2B10D327" w14:textId="77777777" w:rsidR="00104F60" w:rsidRPr="00CB797B" w:rsidRDefault="00104F60" w:rsidP="00104F60">
                  <w:pPr>
                    <w:rPr>
                      <w:rFonts w:cs="Arial"/>
                    </w:rPr>
                  </w:pPr>
                  <w:r w:rsidRPr="00CB797B">
                    <w:rPr>
                      <w:rFonts w:cs="Arial"/>
                    </w:rPr>
                    <w:t>194</w:t>
                  </w:r>
                </w:p>
              </w:tc>
              <w:tc>
                <w:tcPr>
                  <w:tcW w:w="2419" w:type="dxa"/>
                </w:tcPr>
                <w:p w14:paraId="3F8151E4" w14:textId="317E9F15" w:rsidR="00104F60" w:rsidRPr="00CB797B" w:rsidRDefault="00104F60" w:rsidP="00104F60">
                  <w:pPr>
                    <w:rPr>
                      <w:rFonts w:cs="Arial"/>
                    </w:rPr>
                  </w:pPr>
                  <w:r>
                    <w:rPr>
                      <w:rFonts w:cs="Arial"/>
                    </w:rPr>
                    <w:t>275</w:t>
                  </w:r>
                </w:p>
              </w:tc>
            </w:tr>
            <w:tr w:rsidR="00104F60" w:rsidRPr="00CB797B" w14:paraId="48E1FFBE" w14:textId="77777777" w:rsidTr="00BD6EAE">
              <w:trPr>
                <w:trHeight w:val="278"/>
              </w:trPr>
              <w:tc>
                <w:tcPr>
                  <w:tcW w:w="2419" w:type="dxa"/>
                </w:tcPr>
                <w:p w14:paraId="37769DD5" w14:textId="413D1CEB" w:rsidR="00104F60" w:rsidRPr="00CB797B" w:rsidRDefault="0079704C" w:rsidP="00104F60">
                  <w:pPr>
                    <w:rPr>
                      <w:rFonts w:cs="Arial"/>
                    </w:rPr>
                  </w:pPr>
                  <w:r>
                    <w:rPr>
                      <w:rFonts w:ascii="Atkinson Hyperlegible" w:hAnsi="Atkinson Hyperlegible" w:cs="Arial"/>
                      <w:b/>
                      <w:bCs/>
                    </w:rPr>
                    <w:t>SAWS</w:t>
                  </w:r>
                </w:p>
              </w:tc>
              <w:tc>
                <w:tcPr>
                  <w:tcW w:w="2419" w:type="dxa"/>
                </w:tcPr>
                <w:p w14:paraId="5C91C560" w14:textId="77777777" w:rsidR="00104F60" w:rsidRPr="00CB797B" w:rsidRDefault="00104F60" w:rsidP="00104F60">
                  <w:pPr>
                    <w:rPr>
                      <w:rFonts w:cs="Arial"/>
                    </w:rPr>
                  </w:pPr>
                  <w:r w:rsidRPr="00CB797B">
                    <w:rPr>
                      <w:rFonts w:cs="Arial"/>
                    </w:rPr>
                    <w:t>205</w:t>
                  </w:r>
                </w:p>
              </w:tc>
              <w:tc>
                <w:tcPr>
                  <w:tcW w:w="2419" w:type="dxa"/>
                </w:tcPr>
                <w:p w14:paraId="5F4DDB46" w14:textId="31E13398" w:rsidR="00104F60" w:rsidRPr="00CB797B" w:rsidRDefault="00104F60" w:rsidP="00104F60">
                  <w:pPr>
                    <w:rPr>
                      <w:rFonts w:cs="Arial"/>
                    </w:rPr>
                  </w:pPr>
                  <w:r>
                    <w:rPr>
                      <w:rFonts w:cs="Arial"/>
                    </w:rPr>
                    <w:t>388</w:t>
                  </w:r>
                </w:p>
              </w:tc>
            </w:tr>
            <w:tr w:rsidR="00104F60" w:rsidRPr="00CB797B" w14:paraId="3525197D" w14:textId="77777777" w:rsidTr="00BD6EAE">
              <w:trPr>
                <w:trHeight w:val="278"/>
              </w:trPr>
              <w:tc>
                <w:tcPr>
                  <w:tcW w:w="2419" w:type="dxa"/>
                </w:tcPr>
                <w:p w14:paraId="211D0AC5" w14:textId="3E0ABB67" w:rsidR="00104F60" w:rsidRPr="00CB797B" w:rsidRDefault="0079704C" w:rsidP="00104F60">
                  <w:pPr>
                    <w:rPr>
                      <w:rFonts w:cs="Arial"/>
                    </w:rPr>
                  </w:pPr>
                  <w:r>
                    <w:rPr>
                      <w:rFonts w:ascii="Atkinson Hyperlegible" w:hAnsi="Atkinson Hyperlegible" w:cs="Arial"/>
                      <w:b/>
                      <w:bCs/>
                    </w:rPr>
                    <w:t xml:space="preserve">South Somerset </w:t>
                  </w:r>
                </w:p>
              </w:tc>
              <w:tc>
                <w:tcPr>
                  <w:tcW w:w="2419" w:type="dxa"/>
                </w:tcPr>
                <w:p w14:paraId="7232ECDF" w14:textId="77777777" w:rsidR="00104F60" w:rsidRPr="00CB797B" w:rsidRDefault="00104F60" w:rsidP="00104F60">
                  <w:pPr>
                    <w:rPr>
                      <w:rFonts w:cs="Arial"/>
                    </w:rPr>
                  </w:pPr>
                  <w:r w:rsidRPr="00CB797B">
                    <w:rPr>
                      <w:rFonts w:cs="Arial"/>
                    </w:rPr>
                    <w:t>142</w:t>
                  </w:r>
                </w:p>
              </w:tc>
              <w:tc>
                <w:tcPr>
                  <w:tcW w:w="2419" w:type="dxa"/>
                </w:tcPr>
                <w:p w14:paraId="26B627E4" w14:textId="26DE7766" w:rsidR="00104F60" w:rsidRPr="00CB797B" w:rsidRDefault="00104F60" w:rsidP="00104F60">
                  <w:pPr>
                    <w:rPr>
                      <w:rFonts w:cs="Arial"/>
                    </w:rPr>
                  </w:pPr>
                  <w:r>
                    <w:rPr>
                      <w:rFonts w:cs="Arial"/>
                    </w:rPr>
                    <w:t>243</w:t>
                  </w:r>
                </w:p>
              </w:tc>
            </w:tr>
            <w:tr w:rsidR="00104F60" w:rsidRPr="00CB797B" w14:paraId="22C7E0F4" w14:textId="77777777" w:rsidTr="00BD6EAE">
              <w:trPr>
                <w:trHeight w:val="278"/>
              </w:trPr>
              <w:tc>
                <w:tcPr>
                  <w:tcW w:w="2419" w:type="dxa"/>
                </w:tcPr>
                <w:p w14:paraId="6B4FAB12" w14:textId="463ED346" w:rsidR="00104F60" w:rsidRPr="00CB797B" w:rsidRDefault="0079704C" w:rsidP="00104F60">
                  <w:pPr>
                    <w:rPr>
                      <w:rFonts w:cs="Arial"/>
                    </w:rPr>
                  </w:pPr>
                  <w:r>
                    <w:rPr>
                      <w:rFonts w:ascii="Atkinson Hyperlegible" w:hAnsi="Atkinson Hyperlegible" w:cs="Arial"/>
                      <w:b/>
                      <w:bCs/>
                    </w:rPr>
                    <w:t xml:space="preserve">Taunton </w:t>
                  </w:r>
                </w:p>
              </w:tc>
              <w:tc>
                <w:tcPr>
                  <w:tcW w:w="2419" w:type="dxa"/>
                </w:tcPr>
                <w:p w14:paraId="6A62C97F" w14:textId="77777777" w:rsidR="00104F60" w:rsidRPr="00CB797B" w:rsidRDefault="00104F60" w:rsidP="00104F60">
                  <w:pPr>
                    <w:rPr>
                      <w:rFonts w:cs="Arial"/>
                    </w:rPr>
                  </w:pPr>
                  <w:r w:rsidRPr="00CB797B">
                    <w:rPr>
                      <w:rFonts w:cs="Arial"/>
                    </w:rPr>
                    <w:t>151</w:t>
                  </w:r>
                </w:p>
              </w:tc>
              <w:tc>
                <w:tcPr>
                  <w:tcW w:w="2419" w:type="dxa"/>
                </w:tcPr>
                <w:p w14:paraId="6AD905FE" w14:textId="289CEB92" w:rsidR="00104F60" w:rsidRPr="00CB797B" w:rsidRDefault="00104F60" w:rsidP="00104F60">
                  <w:pPr>
                    <w:rPr>
                      <w:rFonts w:cs="Arial"/>
                    </w:rPr>
                  </w:pPr>
                  <w:r>
                    <w:rPr>
                      <w:rFonts w:cs="Arial"/>
                    </w:rPr>
                    <w:t>220</w:t>
                  </w:r>
                </w:p>
              </w:tc>
            </w:tr>
            <w:tr w:rsidR="00104F60" w:rsidRPr="00CB797B" w14:paraId="1F1595B8" w14:textId="77777777" w:rsidTr="00BD6EAE">
              <w:trPr>
                <w:trHeight w:val="278"/>
              </w:trPr>
              <w:tc>
                <w:tcPr>
                  <w:tcW w:w="2419" w:type="dxa"/>
                </w:tcPr>
                <w:p w14:paraId="690DB7E5" w14:textId="6461E7E3" w:rsidR="00104F60" w:rsidRPr="00CB797B" w:rsidRDefault="0079704C" w:rsidP="00104F60">
                  <w:pPr>
                    <w:rPr>
                      <w:rFonts w:cs="Arial"/>
                    </w:rPr>
                  </w:pPr>
                  <w:r>
                    <w:rPr>
                      <w:rFonts w:ascii="Atkinson Hyperlegible" w:hAnsi="Atkinson Hyperlegible" w:cs="Arial"/>
                      <w:b/>
                      <w:bCs/>
                    </w:rPr>
                    <w:t xml:space="preserve">PFA &amp; LD </w:t>
                  </w:r>
                </w:p>
              </w:tc>
              <w:tc>
                <w:tcPr>
                  <w:tcW w:w="2419" w:type="dxa"/>
                </w:tcPr>
                <w:p w14:paraId="4E54C26D" w14:textId="77777777" w:rsidR="00104F60" w:rsidRPr="00CB797B" w:rsidRDefault="00104F60" w:rsidP="00104F60">
                  <w:pPr>
                    <w:rPr>
                      <w:rFonts w:cs="Arial"/>
                    </w:rPr>
                  </w:pPr>
                  <w:r w:rsidRPr="00CB797B">
                    <w:rPr>
                      <w:rFonts w:cs="Arial"/>
                    </w:rPr>
                    <w:t>38</w:t>
                  </w:r>
                </w:p>
              </w:tc>
              <w:tc>
                <w:tcPr>
                  <w:tcW w:w="2419" w:type="dxa"/>
                </w:tcPr>
                <w:p w14:paraId="24B3C191" w14:textId="7E9C56D7" w:rsidR="00104F60" w:rsidRPr="00CB797B" w:rsidRDefault="00104F60" w:rsidP="00104F60">
                  <w:pPr>
                    <w:rPr>
                      <w:rFonts w:cs="Arial"/>
                    </w:rPr>
                  </w:pPr>
                  <w:r>
                    <w:rPr>
                      <w:rFonts w:cs="Arial"/>
                    </w:rPr>
                    <w:t>65</w:t>
                  </w:r>
                </w:p>
              </w:tc>
            </w:tr>
            <w:tr w:rsidR="00104F60" w:rsidRPr="00CB797B" w14:paraId="72DE39A3" w14:textId="77777777" w:rsidTr="00BD6EAE">
              <w:trPr>
                <w:trHeight w:val="278"/>
              </w:trPr>
              <w:tc>
                <w:tcPr>
                  <w:tcW w:w="2419" w:type="dxa"/>
                </w:tcPr>
                <w:p w14:paraId="1A1D769C" w14:textId="6630F0D1" w:rsidR="00104F60" w:rsidRPr="00CB797B" w:rsidRDefault="0079704C" w:rsidP="00104F60">
                  <w:pPr>
                    <w:rPr>
                      <w:rFonts w:cs="Arial"/>
                    </w:rPr>
                  </w:pPr>
                  <w:r>
                    <w:rPr>
                      <w:rFonts w:ascii="Atkinson Hyperlegible" w:hAnsi="Atkinson Hyperlegible" w:cs="Arial"/>
                      <w:b/>
                      <w:bCs/>
                    </w:rPr>
                    <w:t xml:space="preserve">MH East </w:t>
                  </w:r>
                </w:p>
              </w:tc>
              <w:tc>
                <w:tcPr>
                  <w:tcW w:w="2419" w:type="dxa"/>
                </w:tcPr>
                <w:p w14:paraId="775BEC13" w14:textId="77777777" w:rsidR="00104F60" w:rsidRPr="00CB797B" w:rsidRDefault="00104F60" w:rsidP="00104F60">
                  <w:pPr>
                    <w:rPr>
                      <w:rFonts w:cs="Arial"/>
                    </w:rPr>
                  </w:pPr>
                  <w:r w:rsidRPr="00CB797B">
                    <w:rPr>
                      <w:rFonts w:cs="Arial"/>
                    </w:rPr>
                    <w:t>18</w:t>
                  </w:r>
                </w:p>
              </w:tc>
              <w:tc>
                <w:tcPr>
                  <w:tcW w:w="2419" w:type="dxa"/>
                </w:tcPr>
                <w:p w14:paraId="1C7C97F4" w14:textId="45B2B73E" w:rsidR="00104F60" w:rsidRPr="00CB797B" w:rsidRDefault="00104F60" w:rsidP="00104F60">
                  <w:pPr>
                    <w:rPr>
                      <w:rFonts w:cs="Arial"/>
                    </w:rPr>
                  </w:pPr>
                  <w:r>
                    <w:rPr>
                      <w:rFonts w:cs="Arial"/>
                    </w:rPr>
                    <w:t>25</w:t>
                  </w:r>
                </w:p>
              </w:tc>
            </w:tr>
            <w:tr w:rsidR="00104F60" w:rsidRPr="00CB797B" w14:paraId="335A98D1" w14:textId="77777777" w:rsidTr="00BD6EAE">
              <w:trPr>
                <w:trHeight w:val="278"/>
              </w:trPr>
              <w:tc>
                <w:tcPr>
                  <w:tcW w:w="2419" w:type="dxa"/>
                </w:tcPr>
                <w:p w14:paraId="525625CA" w14:textId="1D508910" w:rsidR="00104F60" w:rsidRPr="00CB797B" w:rsidRDefault="0079704C" w:rsidP="00104F60">
                  <w:pPr>
                    <w:rPr>
                      <w:rFonts w:cs="Arial"/>
                    </w:rPr>
                  </w:pPr>
                  <w:r>
                    <w:rPr>
                      <w:rFonts w:ascii="Atkinson Hyperlegible" w:hAnsi="Atkinson Hyperlegible" w:cs="Arial"/>
                      <w:b/>
                      <w:bCs/>
                    </w:rPr>
                    <w:t xml:space="preserve">MH West </w:t>
                  </w:r>
                </w:p>
              </w:tc>
              <w:tc>
                <w:tcPr>
                  <w:tcW w:w="2419" w:type="dxa"/>
                </w:tcPr>
                <w:p w14:paraId="4DF48EB9" w14:textId="77777777" w:rsidR="00104F60" w:rsidRPr="00CB797B" w:rsidRDefault="00104F60" w:rsidP="00104F60">
                  <w:pPr>
                    <w:rPr>
                      <w:rFonts w:cs="Arial"/>
                    </w:rPr>
                  </w:pPr>
                  <w:r w:rsidRPr="00CB797B">
                    <w:rPr>
                      <w:rFonts w:cs="Arial"/>
                    </w:rPr>
                    <w:t>18</w:t>
                  </w:r>
                </w:p>
              </w:tc>
              <w:tc>
                <w:tcPr>
                  <w:tcW w:w="2419" w:type="dxa"/>
                </w:tcPr>
                <w:p w14:paraId="3A142EF7" w14:textId="2B38ABA8" w:rsidR="00104F60" w:rsidRPr="00CB797B" w:rsidRDefault="00104F60" w:rsidP="00104F60">
                  <w:pPr>
                    <w:rPr>
                      <w:rFonts w:cs="Arial"/>
                    </w:rPr>
                  </w:pPr>
                  <w:r>
                    <w:rPr>
                      <w:rFonts w:cs="Arial"/>
                    </w:rPr>
                    <w:t>20</w:t>
                  </w:r>
                </w:p>
              </w:tc>
            </w:tr>
          </w:tbl>
          <w:p w14:paraId="27D5854B" w14:textId="77777777" w:rsidR="00104F60" w:rsidRPr="00CB797B" w:rsidRDefault="00104F60" w:rsidP="00104F60">
            <w:pPr>
              <w:rPr>
                <w:rFonts w:cs="Arial"/>
              </w:rPr>
            </w:pPr>
          </w:p>
        </w:tc>
      </w:tr>
      <w:tr w:rsidR="00104F60" w:rsidRPr="002858FB" w14:paraId="44460505" w14:textId="77777777" w:rsidTr="005E4608">
        <w:trPr>
          <w:trHeight w:val="319"/>
          <w:tblCellSpacing w:w="11" w:type="dxa"/>
        </w:trPr>
        <w:tc>
          <w:tcPr>
            <w:tcW w:w="499" w:type="pct"/>
          </w:tcPr>
          <w:p w14:paraId="086CEBE3" w14:textId="77777777" w:rsidR="00104F60" w:rsidRPr="00525E76" w:rsidRDefault="00104F60" w:rsidP="00104F60">
            <w:pPr>
              <w:pStyle w:val="ReportHead2"/>
              <w:keepNext w:val="0"/>
              <w:tabs>
                <w:tab w:val="num" w:pos="714"/>
              </w:tabs>
              <w:rPr>
                <w:rFonts w:ascii="Atkinson Hyperlegible" w:hAnsi="Atkinson Hyperlegible"/>
                <w:szCs w:val="24"/>
              </w:rPr>
            </w:pPr>
          </w:p>
        </w:tc>
        <w:tc>
          <w:tcPr>
            <w:tcW w:w="4466" w:type="pct"/>
            <w:gridSpan w:val="2"/>
          </w:tcPr>
          <w:p w14:paraId="658778E4" w14:textId="2525E385" w:rsidR="00104F60" w:rsidRPr="001A178C" w:rsidRDefault="00104F60" w:rsidP="00104F60">
            <w:pPr>
              <w:rPr>
                <w:rFonts w:ascii="Atkinson Hyperlegible" w:hAnsi="Atkinson Hyperlegible" w:cs="Arial"/>
                <w:b/>
                <w:bCs/>
              </w:rPr>
            </w:pPr>
            <w:r w:rsidRPr="001A178C">
              <w:rPr>
                <w:rFonts w:ascii="Atkinson Hyperlegible" w:hAnsi="Atkinson Hyperlegible" w:cs="Arial"/>
                <w:b/>
                <w:bCs/>
              </w:rPr>
              <w:t xml:space="preserve">Overdue Reviews </w:t>
            </w:r>
          </w:p>
          <w:p w14:paraId="55A20927" w14:textId="684B0F58" w:rsidR="00104F60" w:rsidRPr="00525E76" w:rsidRDefault="00837CB4" w:rsidP="00104F60">
            <w:pPr>
              <w:rPr>
                <w:rFonts w:cs="Arial"/>
              </w:rPr>
            </w:pPr>
            <w:r>
              <w:rPr>
                <w:rFonts w:ascii="Atkinson Hyperlegible" w:hAnsi="Atkinson Hyperlegible" w:cs="Arial"/>
              </w:rPr>
              <w:t xml:space="preserve"> Overdue reviews remain high with an </w:t>
            </w:r>
            <w:r w:rsidR="003D546A">
              <w:rPr>
                <w:rFonts w:ascii="Atkinson Hyperlegible" w:hAnsi="Atkinson Hyperlegible" w:cs="Arial"/>
              </w:rPr>
              <w:t>increase from 3,567 last quarter to 3</w:t>
            </w:r>
            <w:r w:rsidR="001B4292">
              <w:rPr>
                <w:rFonts w:ascii="Atkinson Hyperlegible" w:hAnsi="Atkinson Hyperlegible" w:cs="Arial"/>
              </w:rPr>
              <w:t>,</w:t>
            </w:r>
            <w:r w:rsidR="003D546A">
              <w:rPr>
                <w:rFonts w:ascii="Atkinson Hyperlegible" w:hAnsi="Atkinson Hyperlegible" w:cs="Arial"/>
              </w:rPr>
              <w:t>937 this quarter across all review</w:t>
            </w:r>
            <w:r w:rsidR="00912D54">
              <w:rPr>
                <w:rFonts w:ascii="Atkinson Hyperlegible" w:hAnsi="Atkinson Hyperlegible" w:cs="Arial"/>
              </w:rPr>
              <w:t xml:space="preserve"> types</w:t>
            </w:r>
            <w:r w:rsidR="001B4292">
              <w:rPr>
                <w:rFonts w:ascii="Atkinson Hyperlegible" w:hAnsi="Atkinson Hyperlegible" w:cs="Arial"/>
              </w:rPr>
              <w:t>.</w:t>
            </w:r>
          </w:p>
        </w:tc>
      </w:tr>
      <w:tr w:rsidR="00104F60" w:rsidRPr="002858FB" w14:paraId="22E8E0FE" w14:textId="77777777" w:rsidTr="005E4608">
        <w:trPr>
          <w:trHeight w:val="319"/>
          <w:tblCellSpacing w:w="11" w:type="dxa"/>
        </w:trPr>
        <w:tc>
          <w:tcPr>
            <w:tcW w:w="499" w:type="pct"/>
          </w:tcPr>
          <w:p w14:paraId="0D979BE2" w14:textId="77777777" w:rsidR="00104F60" w:rsidRPr="002858FB" w:rsidRDefault="00104F60" w:rsidP="00104F60">
            <w:pPr>
              <w:pStyle w:val="ReportHead2"/>
              <w:keepNext w:val="0"/>
              <w:tabs>
                <w:tab w:val="num" w:pos="714"/>
              </w:tabs>
              <w:rPr>
                <w:rFonts w:ascii="Atkinson Hyperlegible" w:hAnsi="Atkinson Hyperlegible"/>
                <w:color w:val="FF0000"/>
                <w:szCs w:val="24"/>
              </w:rPr>
            </w:pPr>
          </w:p>
        </w:tc>
        <w:tc>
          <w:tcPr>
            <w:tcW w:w="4466" w:type="pct"/>
            <w:gridSpan w:val="2"/>
          </w:tcPr>
          <w:tbl>
            <w:tblPr>
              <w:tblW w:w="6940" w:type="dxa"/>
              <w:tblLook w:val="04A0" w:firstRow="1" w:lastRow="0" w:firstColumn="1" w:lastColumn="0" w:noHBand="0" w:noVBand="1"/>
            </w:tblPr>
            <w:tblGrid>
              <w:gridCol w:w="4746"/>
              <w:gridCol w:w="2194"/>
            </w:tblGrid>
            <w:tr w:rsidR="00145946" w:rsidRPr="00145946" w14:paraId="2D4A458E" w14:textId="77777777" w:rsidTr="00145946">
              <w:trPr>
                <w:trHeight w:val="405"/>
              </w:trPr>
              <w:tc>
                <w:tcPr>
                  <w:tcW w:w="4746" w:type="dxa"/>
                  <w:tcBorders>
                    <w:top w:val="nil"/>
                    <w:left w:val="nil"/>
                    <w:bottom w:val="nil"/>
                    <w:right w:val="nil"/>
                  </w:tcBorders>
                  <w:shd w:val="clear" w:color="auto" w:fill="auto"/>
                  <w:noWrap/>
                  <w:vAlign w:val="bottom"/>
                  <w:hideMark/>
                </w:tcPr>
                <w:p w14:paraId="681E5F39" w14:textId="631922E2" w:rsidR="00104F60" w:rsidRPr="00145946" w:rsidRDefault="00104F60" w:rsidP="00104F60">
                  <w:pPr>
                    <w:rPr>
                      <w:rFonts w:cs="Arial"/>
                      <w:b/>
                      <w:bCs/>
                      <w:sz w:val="20"/>
                      <w:szCs w:val="20"/>
                      <w:u w:val="single"/>
                      <w:lang w:eastAsia="en-GB"/>
                    </w:rPr>
                  </w:pPr>
                  <w:r w:rsidRPr="00145946">
                    <w:rPr>
                      <w:rFonts w:cs="Arial"/>
                      <w:b/>
                      <w:bCs/>
                      <w:sz w:val="20"/>
                      <w:szCs w:val="20"/>
                      <w:u w:val="single"/>
                      <w:lang w:eastAsia="en-GB"/>
                    </w:rPr>
                    <w:t xml:space="preserve">Table 4: Overdue Reviews as at </w:t>
                  </w:r>
                  <w:r w:rsidR="00F847C3" w:rsidRPr="00145946">
                    <w:rPr>
                      <w:rFonts w:cs="Arial"/>
                      <w:b/>
                      <w:bCs/>
                      <w:sz w:val="20"/>
                      <w:szCs w:val="20"/>
                      <w:u w:val="single"/>
                      <w:lang w:eastAsia="en-GB"/>
                    </w:rPr>
                    <w:t>17/1/23</w:t>
                  </w:r>
                  <w:r w:rsidRPr="00145946">
                    <w:rPr>
                      <w:rFonts w:cs="Arial"/>
                      <w:b/>
                      <w:bCs/>
                      <w:sz w:val="20"/>
                      <w:szCs w:val="20"/>
                      <w:u w:val="single"/>
                      <w:lang w:eastAsia="en-GB"/>
                    </w:rPr>
                    <w:t>:</w:t>
                  </w:r>
                </w:p>
              </w:tc>
              <w:tc>
                <w:tcPr>
                  <w:tcW w:w="2194" w:type="dxa"/>
                  <w:tcBorders>
                    <w:top w:val="nil"/>
                    <w:left w:val="nil"/>
                    <w:bottom w:val="nil"/>
                    <w:right w:val="nil"/>
                  </w:tcBorders>
                  <w:shd w:val="clear" w:color="auto" w:fill="auto"/>
                  <w:noWrap/>
                  <w:vAlign w:val="bottom"/>
                  <w:hideMark/>
                </w:tcPr>
                <w:p w14:paraId="7037F1F5" w14:textId="77777777" w:rsidR="00104F60" w:rsidRPr="00145946" w:rsidRDefault="00104F60" w:rsidP="00104F60">
                  <w:pPr>
                    <w:rPr>
                      <w:rFonts w:ascii="Microsoft New Tai Lue" w:hAnsi="Microsoft New Tai Lue" w:cs="Microsoft New Tai Lue"/>
                      <w:b/>
                      <w:bCs/>
                      <w:sz w:val="28"/>
                      <w:szCs w:val="28"/>
                      <w:u w:val="single"/>
                      <w:lang w:eastAsia="en-GB"/>
                    </w:rPr>
                  </w:pPr>
                </w:p>
              </w:tc>
            </w:tr>
          </w:tbl>
          <w:p w14:paraId="5D9EB1FE" w14:textId="610A615D" w:rsidR="00104F60" w:rsidRPr="002858FB" w:rsidRDefault="00104F60" w:rsidP="00104F60">
            <w:pPr>
              <w:rPr>
                <w:rFonts w:cs="Arial"/>
                <w:color w:val="FF0000"/>
              </w:rPr>
            </w:pPr>
          </w:p>
          <w:tbl>
            <w:tblPr>
              <w:tblW w:w="8106" w:type="dxa"/>
              <w:tblLook w:val="04A0" w:firstRow="1" w:lastRow="0" w:firstColumn="1" w:lastColumn="0" w:noHBand="0" w:noVBand="1"/>
            </w:tblPr>
            <w:tblGrid>
              <w:gridCol w:w="4869"/>
              <w:gridCol w:w="2307"/>
              <w:gridCol w:w="459"/>
              <w:gridCol w:w="249"/>
              <w:gridCol w:w="222"/>
            </w:tblGrid>
            <w:tr w:rsidR="00145946" w:rsidRPr="00E77DBA" w14:paraId="0A294FC0" w14:textId="1961F1E4" w:rsidTr="00C52724">
              <w:trPr>
                <w:gridAfter w:val="3"/>
                <w:wAfter w:w="930" w:type="dxa"/>
                <w:trHeight w:val="720"/>
              </w:trPr>
              <w:tc>
                <w:tcPr>
                  <w:tcW w:w="4869"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0F4D8E16" w14:textId="77777777" w:rsidR="00145946" w:rsidRPr="00E77DBA" w:rsidRDefault="00145946" w:rsidP="00E77DBA">
                  <w:pPr>
                    <w:rPr>
                      <w:rFonts w:ascii="Microsoft New Tai Lue" w:hAnsi="Microsoft New Tai Lue" w:cs="Microsoft New Tai Lue"/>
                      <w:b/>
                      <w:bCs/>
                      <w:color w:val="000000"/>
                      <w:sz w:val="26"/>
                      <w:szCs w:val="26"/>
                      <w:lang w:eastAsia="en-GB"/>
                    </w:rPr>
                  </w:pPr>
                  <w:r w:rsidRPr="00E77DBA">
                    <w:rPr>
                      <w:rFonts w:ascii="Microsoft New Tai Lue" w:hAnsi="Microsoft New Tai Lue" w:cs="Microsoft New Tai Lue"/>
                      <w:b/>
                      <w:bCs/>
                      <w:color w:val="000000"/>
                      <w:sz w:val="26"/>
                      <w:szCs w:val="26"/>
                      <w:lang w:eastAsia="en-GB"/>
                    </w:rPr>
                    <w:t>Review Type</w:t>
                  </w:r>
                </w:p>
              </w:tc>
              <w:tc>
                <w:tcPr>
                  <w:tcW w:w="2307"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2D50A727" w14:textId="01852778" w:rsidR="00145946" w:rsidRPr="00E77DBA" w:rsidRDefault="00145946" w:rsidP="00E77DBA">
                  <w:pPr>
                    <w:rPr>
                      <w:rFonts w:ascii="Microsoft New Tai Lue" w:hAnsi="Microsoft New Tai Lue" w:cs="Microsoft New Tai Lue"/>
                      <w:b/>
                      <w:bCs/>
                      <w:color w:val="000000"/>
                      <w:sz w:val="26"/>
                      <w:szCs w:val="26"/>
                      <w:lang w:eastAsia="en-GB"/>
                    </w:rPr>
                  </w:pPr>
                  <w:r w:rsidRPr="00E77DBA">
                    <w:rPr>
                      <w:rFonts w:ascii="Microsoft New Tai Lue" w:hAnsi="Microsoft New Tai Lue" w:cs="Microsoft New Tai Lue"/>
                      <w:b/>
                      <w:bCs/>
                      <w:color w:val="000000"/>
                      <w:sz w:val="26"/>
                      <w:szCs w:val="26"/>
                      <w:lang w:eastAsia="en-GB"/>
                    </w:rPr>
                    <w:t>No. of Overdue Reviews</w:t>
                  </w:r>
                  <w:r>
                    <w:rPr>
                      <w:rFonts w:ascii="Microsoft New Tai Lue" w:hAnsi="Microsoft New Tai Lue" w:cs="Microsoft New Tai Lue"/>
                      <w:b/>
                      <w:bCs/>
                      <w:color w:val="000000"/>
                      <w:sz w:val="26"/>
                      <w:szCs w:val="26"/>
                      <w:lang w:eastAsia="en-GB"/>
                    </w:rPr>
                    <w:t xml:space="preserve"> Jan 24</w:t>
                  </w:r>
                </w:p>
              </w:tc>
            </w:tr>
            <w:tr w:rsidR="00274C63" w:rsidRPr="00E77DBA" w14:paraId="4C902305" w14:textId="77777777" w:rsidTr="00C52724">
              <w:trPr>
                <w:trHeight w:val="720"/>
              </w:trPr>
              <w:tc>
                <w:tcPr>
                  <w:tcW w:w="4869" w:type="dxa"/>
                  <w:vMerge/>
                  <w:tcBorders>
                    <w:top w:val="single" w:sz="4" w:space="0" w:color="auto"/>
                    <w:left w:val="single" w:sz="4" w:space="0" w:color="auto"/>
                    <w:bottom w:val="single" w:sz="4" w:space="0" w:color="auto"/>
                    <w:right w:val="single" w:sz="4" w:space="0" w:color="auto"/>
                  </w:tcBorders>
                  <w:vAlign w:val="center"/>
                  <w:hideMark/>
                </w:tcPr>
                <w:p w14:paraId="6DE51E49" w14:textId="77777777" w:rsidR="00274C63" w:rsidRPr="00E77DBA" w:rsidRDefault="00274C63" w:rsidP="00E77DBA">
                  <w:pPr>
                    <w:rPr>
                      <w:rFonts w:ascii="Microsoft New Tai Lue" w:hAnsi="Microsoft New Tai Lue" w:cs="Microsoft New Tai Lue"/>
                      <w:b/>
                      <w:bCs/>
                      <w:color w:val="000000"/>
                      <w:sz w:val="26"/>
                      <w:szCs w:val="26"/>
                      <w:lang w:eastAsia="en-GB"/>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14:paraId="09C7D6CD" w14:textId="77777777" w:rsidR="00274C63" w:rsidRPr="00E77DBA" w:rsidRDefault="00274C63" w:rsidP="00E77DBA">
                  <w:pPr>
                    <w:rPr>
                      <w:rFonts w:ascii="Microsoft New Tai Lue" w:hAnsi="Microsoft New Tai Lue" w:cs="Microsoft New Tai Lue"/>
                      <w:b/>
                      <w:bCs/>
                      <w:color w:val="000000"/>
                      <w:sz w:val="26"/>
                      <w:szCs w:val="26"/>
                      <w:lang w:eastAsia="en-GB"/>
                    </w:rPr>
                  </w:pPr>
                </w:p>
              </w:tc>
              <w:tc>
                <w:tcPr>
                  <w:tcW w:w="459" w:type="dxa"/>
                  <w:tcBorders>
                    <w:top w:val="nil"/>
                    <w:left w:val="nil"/>
                    <w:bottom w:val="nil"/>
                    <w:right w:val="nil"/>
                  </w:tcBorders>
                </w:tcPr>
                <w:p w14:paraId="35B0C8E1" w14:textId="77777777" w:rsidR="00274C63" w:rsidRPr="00E77DBA" w:rsidRDefault="00274C63" w:rsidP="00E77DBA">
                  <w:pPr>
                    <w:rPr>
                      <w:rFonts w:ascii="Microsoft New Tai Lue" w:hAnsi="Microsoft New Tai Lue" w:cs="Microsoft New Tai Lue"/>
                      <w:b/>
                      <w:bCs/>
                      <w:color w:val="000000"/>
                      <w:sz w:val="26"/>
                      <w:szCs w:val="26"/>
                      <w:lang w:eastAsia="en-GB"/>
                    </w:rPr>
                  </w:pPr>
                </w:p>
              </w:tc>
              <w:tc>
                <w:tcPr>
                  <w:tcW w:w="249" w:type="dxa"/>
                  <w:tcBorders>
                    <w:top w:val="nil"/>
                    <w:left w:val="nil"/>
                    <w:bottom w:val="nil"/>
                    <w:right w:val="nil"/>
                  </w:tcBorders>
                </w:tcPr>
                <w:p w14:paraId="1444CEC3" w14:textId="1D78931F" w:rsidR="00274C63" w:rsidRPr="00E77DBA" w:rsidRDefault="00274C63" w:rsidP="00E77DBA">
                  <w:pPr>
                    <w:rPr>
                      <w:rFonts w:ascii="Microsoft New Tai Lue" w:hAnsi="Microsoft New Tai Lue" w:cs="Microsoft New Tai Lue"/>
                      <w:b/>
                      <w:bCs/>
                      <w:color w:val="000000"/>
                      <w:sz w:val="26"/>
                      <w:szCs w:val="26"/>
                      <w:lang w:eastAsia="en-GB"/>
                    </w:rPr>
                  </w:pPr>
                </w:p>
              </w:tc>
              <w:tc>
                <w:tcPr>
                  <w:tcW w:w="222" w:type="dxa"/>
                  <w:tcBorders>
                    <w:top w:val="nil"/>
                    <w:left w:val="nil"/>
                    <w:bottom w:val="nil"/>
                    <w:right w:val="nil"/>
                  </w:tcBorders>
                  <w:shd w:val="clear" w:color="auto" w:fill="auto"/>
                  <w:noWrap/>
                  <w:vAlign w:val="bottom"/>
                  <w:hideMark/>
                </w:tcPr>
                <w:p w14:paraId="528828C0" w14:textId="50E8F67C" w:rsidR="00274C63" w:rsidRPr="00E77DBA" w:rsidRDefault="00274C63" w:rsidP="00E77DBA">
                  <w:pPr>
                    <w:rPr>
                      <w:rFonts w:ascii="Microsoft New Tai Lue" w:hAnsi="Microsoft New Tai Lue" w:cs="Microsoft New Tai Lue"/>
                      <w:b/>
                      <w:bCs/>
                      <w:color w:val="000000"/>
                      <w:sz w:val="26"/>
                      <w:szCs w:val="26"/>
                      <w:lang w:eastAsia="en-GB"/>
                    </w:rPr>
                  </w:pPr>
                </w:p>
              </w:tc>
            </w:tr>
            <w:tr w:rsidR="00274C63" w:rsidRPr="00E77DBA" w14:paraId="73FF1077" w14:textId="77777777" w:rsidTr="00C52724">
              <w:trPr>
                <w:trHeight w:val="600"/>
              </w:trPr>
              <w:tc>
                <w:tcPr>
                  <w:tcW w:w="4869" w:type="dxa"/>
                  <w:tcBorders>
                    <w:top w:val="nil"/>
                    <w:left w:val="single" w:sz="4" w:space="0" w:color="auto"/>
                    <w:bottom w:val="single" w:sz="4" w:space="0" w:color="auto"/>
                    <w:right w:val="single" w:sz="4" w:space="0" w:color="auto"/>
                  </w:tcBorders>
                  <w:shd w:val="clear" w:color="auto" w:fill="auto"/>
                  <w:noWrap/>
                  <w:vAlign w:val="center"/>
                  <w:hideMark/>
                </w:tcPr>
                <w:p w14:paraId="509C456A" w14:textId="77777777" w:rsidR="00274C63" w:rsidRPr="00E77DBA" w:rsidRDefault="00274C63" w:rsidP="00E77DBA">
                  <w:pPr>
                    <w:rPr>
                      <w:rFonts w:ascii="Microsoft New Tai Lue" w:hAnsi="Microsoft New Tai Lue" w:cs="Microsoft New Tai Lue"/>
                      <w:color w:val="000000"/>
                      <w:sz w:val="26"/>
                      <w:szCs w:val="26"/>
                      <w:lang w:eastAsia="en-GB"/>
                    </w:rPr>
                  </w:pPr>
                  <w:r w:rsidRPr="00E77DBA">
                    <w:rPr>
                      <w:rFonts w:ascii="Microsoft New Tai Lue" w:hAnsi="Microsoft New Tai Lue" w:cs="Microsoft New Tai Lue"/>
                      <w:color w:val="000000"/>
                      <w:sz w:val="26"/>
                      <w:szCs w:val="26"/>
                      <w:lang w:eastAsia="en-GB"/>
                    </w:rPr>
                    <w:t>Occupational Therapy Review</w:t>
                  </w:r>
                </w:p>
              </w:tc>
              <w:tc>
                <w:tcPr>
                  <w:tcW w:w="2307" w:type="dxa"/>
                  <w:tcBorders>
                    <w:top w:val="nil"/>
                    <w:left w:val="nil"/>
                    <w:bottom w:val="single" w:sz="4" w:space="0" w:color="auto"/>
                    <w:right w:val="single" w:sz="4" w:space="0" w:color="auto"/>
                  </w:tcBorders>
                  <w:shd w:val="clear" w:color="auto" w:fill="auto"/>
                  <w:noWrap/>
                  <w:vAlign w:val="center"/>
                  <w:hideMark/>
                </w:tcPr>
                <w:p w14:paraId="161FE21B" w14:textId="0D37E0D4" w:rsidR="00274C63" w:rsidRPr="00E77DBA" w:rsidRDefault="00274C63" w:rsidP="00274C63">
                  <w:pPr>
                    <w:rPr>
                      <w:rFonts w:ascii="Microsoft New Tai Lue" w:hAnsi="Microsoft New Tai Lue" w:cs="Microsoft New Tai Lue"/>
                      <w:color w:val="000000"/>
                      <w:sz w:val="26"/>
                      <w:szCs w:val="26"/>
                      <w:lang w:eastAsia="en-GB"/>
                    </w:rPr>
                  </w:pPr>
                  <w:r w:rsidRPr="002858FB">
                    <w:rPr>
                      <w:rFonts w:ascii="Microsoft New Tai Lue" w:hAnsi="Microsoft New Tai Lue" w:cs="Microsoft New Tai Lue"/>
                      <w:noProof/>
                      <w:color w:val="FF0000"/>
                      <w:sz w:val="26"/>
                      <w:szCs w:val="26"/>
                      <w:lang w:eastAsia="en-GB"/>
                    </w:rPr>
                    <mc:AlternateContent>
                      <mc:Choice Requires="wps">
                        <w:drawing>
                          <wp:anchor distT="0" distB="0" distL="114300" distR="114300" simplePos="0" relativeHeight="251688960" behindDoc="0" locked="0" layoutInCell="1" allowOverlap="1" wp14:anchorId="45D1C7B3" wp14:editId="413D4B4C">
                            <wp:simplePos x="0" y="0"/>
                            <wp:positionH relativeFrom="column">
                              <wp:posOffset>368300</wp:posOffset>
                            </wp:positionH>
                            <wp:positionV relativeFrom="paragraph">
                              <wp:posOffset>24765</wp:posOffset>
                            </wp:positionV>
                            <wp:extent cx="304800" cy="320675"/>
                            <wp:effectExtent l="19050" t="0" r="19050" b="41275"/>
                            <wp:wrapNone/>
                            <wp:docPr id="1385153599" name="Arrow: Down 2"/>
                            <wp:cNvGraphicFramePr/>
                            <a:graphic xmlns:a="http://schemas.openxmlformats.org/drawingml/2006/main">
                              <a:graphicData uri="http://schemas.microsoft.com/office/word/2010/wordprocessingShape">
                                <wps:wsp>
                                  <wps:cNvSpPr/>
                                  <wps:spPr>
                                    <a:xfrm>
                                      <a:off x="0" y="0"/>
                                      <a:ext cx="304800" cy="320675"/>
                                    </a:xfrm>
                                    <a:prstGeom prst="downArrow">
                                      <a:avLst>
                                        <a:gd name="adj1" fmla="val 29311"/>
                                        <a:gd name="adj2" fmla="val 50000"/>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376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9pt;margin-top:1.95pt;width:24pt;height:2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" adj="11335,7634" fillcolor="#70ad47 [3209]" strokecolor="#10190a [489]" strokeweight="1pt"/>
                        </w:pict>
                      </mc:Fallback>
                    </mc:AlternateContent>
                  </w:r>
                  <w:r w:rsidRPr="00E77DBA">
                    <w:rPr>
                      <w:rFonts w:ascii="Microsoft New Tai Lue" w:hAnsi="Microsoft New Tai Lue" w:cs="Microsoft New Tai Lue"/>
                      <w:color w:val="000000"/>
                      <w:sz w:val="26"/>
                      <w:szCs w:val="26"/>
                      <w:lang w:eastAsia="en-GB"/>
                    </w:rPr>
                    <w:t>75</w:t>
                  </w:r>
                  <w:r>
                    <w:rPr>
                      <w:rFonts w:ascii="Microsoft New Tai Lue" w:hAnsi="Microsoft New Tai Lue" w:cs="Microsoft New Tai Lue"/>
                      <w:color w:val="000000"/>
                      <w:sz w:val="26"/>
                      <w:szCs w:val="26"/>
                      <w:lang w:eastAsia="en-GB"/>
                    </w:rPr>
                    <w:t xml:space="preserve"> </w:t>
                  </w:r>
                  <w:r w:rsidR="00C52724">
                    <w:rPr>
                      <w:rFonts w:ascii="Microsoft New Tai Lue" w:hAnsi="Microsoft New Tai Lue" w:cs="Microsoft New Tai Lue"/>
                      <w:color w:val="000000"/>
                      <w:sz w:val="26"/>
                      <w:szCs w:val="26"/>
                      <w:lang w:eastAsia="en-GB"/>
                    </w:rPr>
                    <w:t xml:space="preserve">          </w:t>
                  </w:r>
                  <w:proofErr w:type="gramStart"/>
                  <w:r w:rsidR="00C52724">
                    <w:rPr>
                      <w:rFonts w:ascii="Microsoft New Tai Lue" w:hAnsi="Microsoft New Tai Lue" w:cs="Microsoft New Tai Lue"/>
                      <w:color w:val="000000"/>
                      <w:sz w:val="26"/>
                      <w:szCs w:val="26"/>
                      <w:lang w:eastAsia="en-GB"/>
                    </w:rPr>
                    <w:t xml:space="preserve">   </w:t>
                  </w:r>
                  <w:r w:rsidR="004B1E06" w:rsidRPr="004B1E06">
                    <w:rPr>
                      <w:rFonts w:ascii="Microsoft New Tai Lue" w:hAnsi="Microsoft New Tai Lue" w:cs="Microsoft New Tai Lue"/>
                      <w:color w:val="92D050"/>
                      <w:sz w:val="26"/>
                      <w:szCs w:val="26"/>
                      <w:lang w:eastAsia="en-GB"/>
                    </w:rPr>
                    <w:t>(</w:t>
                  </w:r>
                  <w:proofErr w:type="gramEnd"/>
                  <w:r w:rsidR="004B1E06" w:rsidRPr="004B1E06">
                    <w:rPr>
                      <w:rFonts w:ascii="Microsoft New Tai Lue" w:hAnsi="Microsoft New Tai Lue" w:cs="Microsoft New Tai Lue"/>
                      <w:color w:val="92D050"/>
                      <w:sz w:val="26"/>
                      <w:szCs w:val="26"/>
                      <w:lang w:eastAsia="en-GB"/>
                    </w:rPr>
                    <w:t>-73)</w:t>
                  </w:r>
                </w:p>
              </w:tc>
              <w:tc>
                <w:tcPr>
                  <w:tcW w:w="459" w:type="dxa"/>
                </w:tcPr>
                <w:p w14:paraId="498C8604" w14:textId="77777777" w:rsidR="00274C63" w:rsidRPr="00E77DBA" w:rsidRDefault="00274C63" w:rsidP="00274C63">
                  <w:pPr>
                    <w:rPr>
                      <w:rFonts w:ascii="Times New Roman" w:hAnsi="Times New Roman"/>
                      <w:sz w:val="20"/>
                      <w:szCs w:val="20"/>
                      <w:lang w:eastAsia="en-GB"/>
                    </w:rPr>
                  </w:pPr>
                </w:p>
              </w:tc>
              <w:tc>
                <w:tcPr>
                  <w:tcW w:w="249" w:type="dxa"/>
                </w:tcPr>
                <w:p w14:paraId="5683F13F" w14:textId="6F91DB07" w:rsidR="00274C63" w:rsidRPr="00E77DBA" w:rsidRDefault="00274C63" w:rsidP="00E77DBA">
                  <w:pPr>
                    <w:rPr>
                      <w:rFonts w:ascii="Times New Roman" w:hAnsi="Times New Roman"/>
                      <w:sz w:val="20"/>
                      <w:szCs w:val="20"/>
                      <w:lang w:eastAsia="en-GB"/>
                    </w:rPr>
                  </w:pPr>
                </w:p>
              </w:tc>
              <w:tc>
                <w:tcPr>
                  <w:tcW w:w="222" w:type="dxa"/>
                  <w:vAlign w:val="center"/>
                  <w:hideMark/>
                </w:tcPr>
                <w:p w14:paraId="6031DD2E" w14:textId="5123691A" w:rsidR="00274C63" w:rsidRPr="00E77DBA" w:rsidRDefault="00274C63" w:rsidP="00E77DBA">
                  <w:pPr>
                    <w:rPr>
                      <w:rFonts w:ascii="Times New Roman" w:hAnsi="Times New Roman"/>
                      <w:sz w:val="20"/>
                      <w:szCs w:val="20"/>
                      <w:lang w:eastAsia="en-GB"/>
                    </w:rPr>
                  </w:pPr>
                </w:p>
              </w:tc>
            </w:tr>
            <w:tr w:rsidR="00274C63" w:rsidRPr="00E77DBA" w14:paraId="62BDBA9C" w14:textId="77777777" w:rsidTr="00C52724">
              <w:trPr>
                <w:trHeight w:val="600"/>
              </w:trPr>
              <w:tc>
                <w:tcPr>
                  <w:tcW w:w="4869" w:type="dxa"/>
                  <w:tcBorders>
                    <w:top w:val="nil"/>
                    <w:left w:val="single" w:sz="4" w:space="0" w:color="auto"/>
                    <w:bottom w:val="single" w:sz="4" w:space="0" w:color="auto"/>
                    <w:right w:val="single" w:sz="4" w:space="0" w:color="auto"/>
                  </w:tcBorders>
                  <w:shd w:val="clear" w:color="auto" w:fill="auto"/>
                  <w:noWrap/>
                  <w:vAlign w:val="center"/>
                  <w:hideMark/>
                </w:tcPr>
                <w:p w14:paraId="1B278E82" w14:textId="77777777" w:rsidR="00274C63" w:rsidRPr="00E77DBA" w:rsidRDefault="00274C63" w:rsidP="00E77DBA">
                  <w:pPr>
                    <w:rPr>
                      <w:rFonts w:ascii="Microsoft New Tai Lue" w:hAnsi="Microsoft New Tai Lue" w:cs="Microsoft New Tai Lue"/>
                      <w:color w:val="000000"/>
                      <w:sz w:val="26"/>
                      <w:szCs w:val="26"/>
                      <w:lang w:eastAsia="en-GB"/>
                    </w:rPr>
                  </w:pPr>
                  <w:r w:rsidRPr="00E77DBA">
                    <w:rPr>
                      <w:rFonts w:ascii="Microsoft New Tai Lue" w:hAnsi="Microsoft New Tai Lue" w:cs="Microsoft New Tai Lue"/>
                      <w:color w:val="000000"/>
                      <w:sz w:val="26"/>
                      <w:szCs w:val="26"/>
                      <w:lang w:eastAsia="en-GB"/>
                    </w:rPr>
                    <w:t>Occupational Therapy Moving &amp; Handling Review</w:t>
                  </w:r>
                </w:p>
              </w:tc>
              <w:tc>
                <w:tcPr>
                  <w:tcW w:w="2307" w:type="dxa"/>
                  <w:tcBorders>
                    <w:top w:val="nil"/>
                    <w:left w:val="nil"/>
                    <w:bottom w:val="single" w:sz="4" w:space="0" w:color="auto"/>
                    <w:right w:val="single" w:sz="4" w:space="0" w:color="auto"/>
                  </w:tcBorders>
                  <w:shd w:val="clear" w:color="auto" w:fill="auto"/>
                  <w:noWrap/>
                  <w:vAlign w:val="center"/>
                  <w:hideMark/>
                </w:tcPr>
                <w:p w14:paraId="5792CCA5" w14:textId="46DF9DF9" w:rsidR="00274C63" w:rsidRPr="00E77DBA" w:rsidRDefault="003A0522" w:rsidP="00274C63">
                  <w:pPr>
                    <w:rPr>
                      <w:rFonts w:ascii="Microsoft New Tai Lue" w:hAnsi="Microsoft New Tai Lue" w:cs="Microsoft New Tai Lue"/>
                      <w:color w:val="000000"/>
                      <w:sz w:val="26"/>
                      <w:szCs w:val="26"/>
                      <w:lang w:eastAsia="en-GB"/>
                    </w:rPr>
                  </w:pPr>
                  <w:r w:rsidRPr="002858FB">
                    <w:rPr>
                      <w:rFonts w:ascii="Microsoft New Tai Lue" w:hAnsi="Microsoft New Tai Lue" w:cs="Microsoft New Tai Lue"/>
                      <w:noProof/>
                      <w:color w:val="FF0000"/>
                      <w:sz w:val="26"/>
                      <w:szCs w:val="26"/>
                      <w:lang w:eastAsia="en-GB"/>
                    </w:rPr>
                    <mc:AlternateContent>
                      <mc:Choice Requires="wps">
                        <w:drawing>
                          <wp:anchor distT="0" distB="0" distL="114300" distR="114300" simplePos="0" relativeHeight="251691008" behindDoc="0" locked="0" layoutInCell="1" allowOverlap="1" wp14:anchorId="3111A871" wp14:editId="036874EA">
                            <wp:simplePos x="0" y="0"/>
                            <wp:positionH relativeFrom="column">
                              <wp:posOffset>396875</wp:posOffset>
                            </wp:positionH>
                            <wp:positionV relativeFrom="paragraph">
                              <wp:posOffset>-5715</wp:posOffset>
                            </wp:positionV>
                            <wp:extent cx="238125" cy="349250"/>
                            <wp:effectExtent l="19050" t="19050" r="47625" b="12700"/>
                            <wp:wrapNone/>
                            <wp:docPr id="415152060" name="Arrow: Up 1"/>
                            <wp:cNvGraphicFramePr/>
                            <a:graphic xmlns:a="http://schemas.openxmlformats.org/drawingml/2006/main">
                              <a:graphicData uri="http://schemas.microsoft.com/office/word/2010/wordprocessingShape">
                                <wps:wsp>
                                  <wps:cNvSpPr/>
                                  <wps:spPr>
                                    <a:xfrm>
                                      <a:off x="0" y="0"/>
                                      <a:ext cx="238125" cy="349250"/>
                                    </a:xfrm>
                                    <a:prstGeom prst="up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1526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 o:spid="_x0000_s1026" type="#_x0000_t68" style="position:absolute;margin-left:31.25pt;margin-top:-.45pt;width:18.75pt;height: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" adj="7364" fillcolor="red" strokecolor="#09101d [484]" strokeweight="1pt"/>
                        </w:pict>
                      </mc:Fallback>
                    </mc:AlternateContent>
                  </w:r>
                  <w:r w:rsidR="00274C63" w:rsidRPr="00E77DBA">
                    <w:rPr>
                      <w:rFonts w:ascii="Microsoft New Tai Lue" w:hAnsi="Microsoft New Tai Lue" w:cs="Microsoft New Tai Lue"/>
                      <w:color w:val="000000"/>
                      <w:sz w:val="26"/>
                      <w:szCs w:val="26"/>
                      <w:lang w:eastAsia="en-GB"/>
                    </w:rPr>
                    <w:t>298</w:t>
                  </w:r>
                  <w:r w:rsidR="00443F90">
                    <w:rPr>
                      <w:rFonts w:ascii="Microsoft New Tai Lue" w:hAnsi="Microsoft New Tai Lue" w:cs="Microsoft New Tai Lue"/>
                      <w:color w:val="000000"/>
                      <w:sz w:val="26"/>
                      <w:szCs w:val="26"/>
                      <w:lang w:eastAsia="en-GB"/>
                    </w:rPr>
                    <w:t xml:space="preserve">         </w:t>
                  </w:r>
                  <w:proofErr w:type="gramStart"/>
                  <w:r w:rsidR="00443F90">
                    <w:rPr>
                      <w:rFonts w:ascii="Microsoft New Tai Lue" w:hAnsi="Microsoft New Tai Lue" w:cs="Microsoft New Tai Lue"/>
                      <w:color w:val="000000"/>
                      <w:sz w:val="26"/>
                      <w:szCs w:val="26"/>
                      <w:lang w:eastAsia="en-GB"/>
                    </w:rPr>
                    <w:t xml:space="preserve">   </w:t>
                  </w:r>
                  <w:r w:rsidR="00443F90" w:rsidRPr="00443F90">
                    <w:rPr>
                      <w:rFonts w:ascii="Microsoft New Tai Lue" w:hAnsi="Microsoft New Tai Lue" w:cs="Microsoft New Tai Lue"/>
                      <w:color w:val="FF0000"/>
                      <w:sz w:val="26"/>
                      <w:szCs w:val="26"/>
                      <w:lang w:eastAsia="en-GB"/>
                    </w:rPr>
                    <w:t>(</w:t>
                  </w:r>
                  <w:proofErr w:type="gramEnd"/>
                  <w:r w:rsidR="00443F90" w:rsidRPr="00443F90">
                    <w:rPr>
                      <w:rFonts w:ascii="Microsoft New Tai Lue" w:hAnsi="Microsoft New Tai Lue" w:cs="Microsoft New Tai Lue"/>
                      <w:color w:val="FF0000"/>
                      <w:sz w:val="26"/>
                      <w:szCs w:val="26"/>
                      <w:lang w:eastAsia="en-GB"/>
                    </w:rPr>
                    <w:t>+96)</w:t>
                  </w:r>
                </w:p>
              </w:tc>
              <w:tc>
                <w:tcPr>
                  <w:tcW w:w="459" w:type="dxa"/>
                </w:tcPr>
                <w:p w14:paraId="7F41A5D2" w14:textId="77777777" w:rsidR="00274C63" w:rsidRPr="00E77DBA" w:rsidRDefault="00274C63" w:rsidP="00274C63">
                  <w:pPr>
                    <w:rPr>
                      <w:rFonts w:ascii="Times New Roman" w:hAnsi="Times New Roman"/>
                      <w:sz w:val="20"/>
                      <w:szCs w:val="20"/>
                      <w:lang w:eastAsia="en-GB"/>
                    </w:rPr>
                  </w:pPr>
                </w:p>
              </w:tc>
              <w:tc>
                <w:tcPr>
                  <w:tcW w:w="249" w:type="dxa"/>
                </w:tcPr>
                <w:p w14:paraId="532C9822" w14:textId="23DA0D6C" w:rsidR="00274C63" w:rsidRPr="00E77DBA" w:rsidRDefault="00274C63" w:rsidP="00E77DBA">
                  <w:pPr>
                    <w:rPr>
                      <w:rFonts w:ascii="Times New Roman" w:hAnsi="Times New Roman"/>
                      <w:sz w:val="20"/>
                      <w:szCs w:val="20"/>
                      <w:lang w:eastAsia="en-GB"/>
                    </w:rPr>
                  </w:pPr>
                </w:p>
              </w:tc>
              <w:tc>
                <w:tcPr>
                  <w:tcW w:w="222" w:type="dxa"/>
                  <w:vAlign w:val="center"/>
                  <w:hideMark/>
                </w:tcPr>
                <w:p w14:paraId="35C1B15B" w14:textId="5FD6EC1A" w:rsidR="00274C63" w:rsidRPr="00E77DBA" w:rsidRDefault="00274C63" w:rsidP="00E77DBA">
                  <w:pPr>
                    <w:rPr>
                      <w:rFonts w:ascii="Times New Roman" w:hAnsi="Times New Roman"/>
                      <w:sz w:val="20"/>
                      <w:szCs w:val="20"/>
                      <w:lang w:eastAsia="en-GB"/>
                    </w:rPr>
                  </w:pPr>
                </w:p>
              </w:tc>
            </w:tr>
            <w:tr w:rsidR="00274C63" w:rsidRPr="00E77DBA" w14:paraId="11160E33" w14:textId="77777777" w:rsidTr="00C52724">
              <w:trPr>
                <w:trHeight w:val="600"/>
              </w:trPr>
              <w:tc>
                <w:tcPr>
                  <w:tcW w:w="4869" w:type="dxa"/>
                  <w:tcBorders>
                    <w:top w:val="nil"/>
                    <w:left w:val="single" w:sz="4" w:space="0" w:color="auto"/>
                    <w:bottom w:val="single" w:sz="4" w:space="0" w:color="auto"/>
                    <w:right w:val="single" w:sz="4" w:space="0" w:color="auto"/>
                  </w:tcBorders>
                  <w:shd w:val="clear" w:color="auto" w:fill="auto"/>
                  <w:noWrap/>
                  <w:vAlign w:val="center"/>
                  <w:hideMark/>
                </w:tcPr>
                <w:p w14:paraId="23ACE89C" w14:textId="77777777" w:rsidR="00274C63" w:rsidRPr="00E77DBA" w:rsidRDefault="00274C63" w:rsidP="00E77DBA">
                  <w:pPr>
                    <w:rPr>
                      <w:rFonts w:ascii="Microsoft New Tai Lue" w:hAnsi="Microsoft New Tai Lue" w:cs="Microsoft New Tai Lue"/>
                      <w:color w:val="000000"/>
                      <w:sz w:val="26"/>
                      <w:szCs w:val="26"/>
                      <w:lang w:eastAsia="en-GB"/>
                    </w:rPr>
                  </w:pPr>
                  <w:r w:rsidRPr="00E77DBA">
                    <w:rPr>
                      <w:rFonts w:ascii="Microsoft New Tai Lue" w:hAnsi="Microsoft New Tai Lue" w:cs="Microsoft New Tai Lue"/>
                      <w:color w:val="000000"/>
                      <w:sz w:val="26"/>
                      <w:szCs w:val="26"/>
                      <w:lang w:eastAsia="en-GB"/>
                    </w:rPr>
                    <w:t>Review</w:t>
                  </w:r>
                </w:p>
              </w:tc>
              <w:tc>
                <w:tcPr>
                  <w:tcW w:w="2307" w:type="dxa"/>
                  <w:tcBorders>
                    <w:top w:val="nil"/>
                    <w:left w:val="nil"/>
                    <w:bottom w:val="single" w:sz="4" w:space="0" w:color="auto"/>
                    <w:right w:val="single" w:sz="4" w:space="0" w:color="auto"/>
                  </w:tcBorders>
                  <w:shd w:val="clear" w:color="auto" w:fill="auto"/>
                  <w:noWrap/>
                  <w:vAlign w:val="center"/>
                  <w:hideMark/>
                </w:tcPr>
                <w:p w14:paraId="3B647EC4" w14:textId="060FF985" w:rsidR="00274C63" w:rsidRPr="00E77DBA" w:rsidRDefault="003A0522" w:rsidP="00274C63">
                  <w:pPr>
                    <w:rPr>
                      <w:rFonts w:ascii="Microsoft New Tai Lue" w:hAnsi="Microsoft New Tai Lue" w:cs="Microsoft New Tai Lue"/>
                      <w:color w:val="000000"/>
                      <w:sz w:val="26"/>
                      <w:szCs w:val="26"/>
                      <w:lang w:eastAsia="en-GB"/>
                    </w:rPr>
                  </w:pPr>
                  <w:r w:rsidRPr="002858FB">
                    <w:rPr>
                      <w:rFonts w:ascii="Microsoft New Tai Lue" w:hAnsi="Microsoft New Tai Lue" w:cs="Microsoft New Tai Lue"/>
                      <w:noProof/>
                      <w:color w:val="FF0000"/>
                      <w:sz w:val="26"/>
                      <w:szCs w:val="26"/>
                      <w:lang w:eastAsia="en-GB"/>
                    </w:rPr>
                    <mc:AlternateContent>
                      <mc:Choice Requires="wps">
                        <w:drawing>
                          <wp:anchor distT="0" distB="0" distL="114300" distR="114300" simplePos="0" relativeHeight="251693056" behindDoc="0" locked="0" layoutInCell="1" allowOverlap="1" wp14:anchorId="27AD52BE" wp14:editId="72CB63ED">
                            <wp:simplePos x="0" y="0"/>
                            <wp:positionH relativeFrom="column">
                              <wp:posOffset>387350</wp:posOffset>
                            </wp:positionH>
                            <wp:positionV relativeFrom="paragraph">
                              <wp:posOffset>-25400</wp:posOffset>
                            </wp:positionV>
                            <wp:extent cx="238125" cy="349250"/>
                            <wp:effectExtent l="19050" t="19050" r="47625" b="12700"/>
                            <wp:wrapNone/>
                            <wp:docPr id="1903706927" name="Arrow: Up 1"/>
                            <wp:cNvGraphicFramePr/>
                            <a:graphic xmlns:a="http://schemas.openxmlformats.org/drawingml/2006/main">
                              <a:graphicData uri="http://schemas.microsoft.com/office/word/2010/wordprocessingShape">
                                <wps:wsp>
                                  <wps:cNvSpPr/>
                                  <wps:spPr>
                                    <a:xfrm>
                                      <a:off x="0" y="0"/>
                                      <a:ext cx="238125" cy="349250"/>
                                    </a:xfrm>
                                    <a:prstGeom prst="up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1F41A" id="Arrow: Up 1" o:spid="_x0000_s1026" type="#_x0000_t68" style="position:absolute;margin-left:30.5pt;margin-top:-2pt;width:18.75pt;height: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" adj="7364" fillcolor="red" strokecolor="#09101d [484]" strokeweight="1pt"/>
                        </w:pict>
                      </mc:Fallback>
                    </mc:AlternateContent>
                  </w:r>
                  <w:r w:rsidR="00274C63" w:rsidRPr="00E77DBA">
                    <w:rPr>
                      <w:rFonts w:ascii="Microsoft New Tai Lue" w:hAnsi="Microsoft New Tai Lue" w:cs="Microsoft New Tai Lue"/>
                      <w:color w:val="000000"/>
                      <w:sz w:val="26"/>
                      <w:szCs w:val="26"/>
                      <w:lang w:eastAsia="en-GB"/>
                    </w:rPr>
                    <w:t>3,544</w:t>
                  </w:r>
                  <w:r w:rsidR="00E70627">
                    <w:rPr>
                      <w:rFonts w:ascii="Microsoft New Tai Lue" w:hAnsi="Microsoft New Tai Lue" w:cs="Microsoft New Tai Lue"/>
                      <w:color w:val="000000"/>
                      <w:sz w:val="26"/>
                      <w:szCs w:val="26"/>
                      <w:lang w:eastAsia="en-GB"/>
                    </w:rPr>
                    <w:t xml:space="preserve">      </w:t>
                  </w:r>
                  <w:proofErr w:type="gramStart"/>
                  <w:r w:rsidR="00E70627">
                    <w:rPr>
                      <w:rFonts w:ascii="Microsoft New Tai Lue" w:hAnsi="Microsoft New Tai Lue" w:cs="Microsoft New Tai Lue"/>
                      <w:color w:val="000000"/>
                      <w:sz w:val="26"/>
                      <w:szCs w:val="26"/>
                      <w:lang w:eastAsia="en-GB"/>
                    </w:rPr>
                    <w:t xml:space="preserve">   </w:t>
                  </w:r>
                  <w:r w:rsidR="00E70627" w:rsidRPr="00E70627">
                    <w:rPr>
                      <w:rFonts w:ascii="Microsoft New Tai Lue" w:hAnsi="Microsoft New Tai Lue" w:cs="Microsoft New Tai Lue"/>
                      <w:color w:val="FF0000"/>
                      <w:sz w:val="26"/>
                      <w:szCs w:val="26"/>
                      <w:lang w:eastAsia="en-GB"/>
                    </w:rPr>
                    <w:t>(</w:t>
                  </w:r>
                  <w:proofErr w:type="gramEnd"/>
                  <w:r w:rsidR="00E70627" w:rsidRPr="00E70627">
                    <w:rPr>
                      <w:rFonts w:ascii="Microsoft New Tai Lue" w:hAnsi="Microsoft New Tai Lue" w:cs="Microsoft New Tai Lue"/>
                      <w:color w:val="FF0000"/>
                      <w:sz w:val="26"/>
                      <w:szCs w:val="26"/>
                      <w:lang w:eastAsia="en-GB"/>
                    </w:rPr>
                    <w:t>+475)</w:t>
                  </w:r>
                </w:p>
              </w:tc>
              <w:tc>
                <w:tcPr>
                  <w:tcW w:w="459" w:type="dxa"/>
                </w:tcPr>
                <w:p w14:paraId="3962A4FD" w14:textId="491C962A" w:rsidR="00274C63" w:rsidRPr="00E77DBA" w:rsidRDefault="00274C63" w:rsidP="00274C63">
                  <w:pPr>
                    <w:rPr>
                      <w:rFonts w:ascii="Times New Roman" w:hAnsi="Times New Roman"/>
                      <w:sz w:val="20"/>
                      <w:szCs w:val="20"/>
                      <w:lang w:eastAsia="en-GB"/>
                    </w:rPr>
                  </w:pPr>
                </w:p>
              </w:tc>
              <w:tc>
                <w:tcPr>
                  <w:tcW w:w="249" w:type="dxa"/>
                </w:tcPr>
                <w:p w14:paraId="4AC8F91A" w14:textId="305EA166" w:rsidR="00274C63" w:rsidRPr="00E77DBA" w:rsidRDefault="00274C63" w:rsidP="00E77DBA">
                  <w:pPr>
                    <w:rPr>
                      <w:rFonts w:ascii="Times New Roman" w:hAnsi="Times New Roman"/>
                      <w:sz w:val="20"/>
                      <w:szCs w:val="20"/>
                      <w:lang w:eastAsia="en-GB"/>
                    </w:rPr>
                  </w:pPr>
                </w:p>
              </w:tc>
              <w:tc>
                <w:tcPr>
                  <w:tcW w:w="222" w:type="dxa"/>
                  <w:vAlign w:val="center"/>
                  <w:hideMark/>
                </w:tcPr>
                <w:p w14:paraId="195FF3BB" w14:textId="354C4A3E" w:rsidR="00274C63" w:rsidRPr="00E77DBA" w:rsidRDefault="00274C63" w:rsidP="00E77DBA">
                  <w:pPr>
                    <w:rPr>
                      <w:rFonts w:ascii="Times New Roman" w:hAnsi="Times New Roman"/>
                      <w:sz w:val="20"/>
                      <w:szCs w:val="20"/>
                      <w:lang w:eastAsia="en-GB"/>
                    </w:rPr>
                  </w:pPr>
                </w:p>
              </w:tc>
            </w:tr>
            <w:tr w:rsidR="00274C63" w:rsidRPr="00E77DBA" w14:paraId="4AAFAF51" w14:textId="77777777" w:rsidTr="00C52724">
              <w:trPr>
                <w:trHeight w:val="600"/>
              </w:trPr>
              <w:tc>
                <w:tcPr>
                  <w:tcW w:w="4869" w:type="dxa"/>
                  <w:tcBorders>
                    <w:top w:val="nil"/>
                    <w:left w:val="single" w:sz="4" w:space="0" w:color="auto"/>
                    <w:bottom w:val="single" w:sz="4" w:space="0" w:color="auto"/>
                    <w:right w:val="single" w:sz="4" w:space="0" w:color="auto"/>
                  </w:tcBorders>
                  <w:shd w:val="clear" w:color="auto" w:fill="auto"/>
                  <w:noWrap/>
                  <w:vAlign w:val="center"/>
                  <w:hideMark/>
                </w:tcPr>
                <w:p w14:paraId="162B7606" w14:textId="77777777" w:rsidR="00274C63" w:rsidRPr="00E77DBA" w:rsidRDefault="00274C63" w:rsidP="00E77DBA">
                  <w:pPr>
                    <w:rPr>
                      <w:rFonts w:ascii="Microsoft New Tai Lue" w:hAnsi="Microsoft New Tai Lue" w:cs="Microsoft New Tai Lue"/>
                      <w:color w:val="000000"/>
                      <w:sz w:val="26"/>
                      <w:szCs w:val="26"/>
                      <w:lang w:eastAsia="en-GB"/>
                    </w:rPr>
                  </w:pPr>
                  <w:r w:rsidRPr="00E77DBA">
                    <w:rPr>
                      <w:rFonts w:ascii="Microsoft New Tai Lue" w:hAnsi="Microsoft New Tai Lue" w:cs="Microsoft New Tai Lue"/>
                      <w:color w:val="000000"/>
                      <w:sz w:val="26"/>
                      <w:szCs w:val="26"/>
                      <w:lang w:eastAsia="en-GB"/>
                    </w:rPr>
                    <w:t xml:space="preserve">Review of </w:t>
                  </w:r>
                  <w:proofErr w:type="gramStart"/>
                  <w:r w:rsidRPr="00E77DBA">
                    <w:rPr>
                      <w:rFonts w:ascii="Microsoft New Tai Lue" w:hAnsi="Microsoft New Tai Lue" w:cs="Microsoft New Tai Lue"/>
                      <w:color w:val="000000"/>
                      <w:sz w:val="26"/>
                      <w:szCs w:val="26"/>
                      <w:lang w:eastAsia="en-GB"/>
                    </w:rPr>
                    <w:t>short term</w:t>
                  </w:r>
                  <w:proofErr w:type="gramEnd"/>
                  <w:r w:rsidRPr="00E77DBA">
                    <w:rPr>
                      <w:rFonts w:ascii="Microsoft New Tai Lue" w:hAnsi="Microsoft New Tai Lue" w:cs="Microsoft New Tai Lue"/>
                      <w:color w:val="000000"/>
                      <w:sz w:val="26"/>
                      <w:szCs w:val="26"/>
                      <w:lang w:eastAsia="en-GB"/>
                    </w:rPr>
                    <w:t xml:space="preserve"> support</w:t>
                  </w:r>
                </w:p>
              </w:tc>
              <w:tc>
                <w:tcPr>
                  <w:tcW w:w="2307" w:type="dxa"/>
                  <w:tcBorders>
                    <w:top w:val="nil"/>
                    <w:left w:val="nil"/>
                    <w:bottom w:val="single" w:sz="4" w:space="0" w:color="auto"/>
                    <w:right w:val="single" w:sz="4" w:space="0" w:color="auto"/>
                  </w:tcBorders>
                  <w:shd w:val="clear" w:color="auto" w:fill="auto"/>
                  <w:noWrap/>
                  <w:vAlign w:val="center"/>
                  <w:hideMark/>
                </w:tcPr>
                <w:p w14:paraId="1C5B8033" w14:textId="07EF9CE4" w:rsidR="00274C63" w:rsidRPr="00E77DBA" w:rsidRDefault="008A587A" w:rsidP="00274C63">
                  <w:pPr>
                    <w:rPr>
                      <w:rFonts w:ascii="Microsoft New Tai Lue" w:hAnsi="Microsoft New Tai Lue" w:cs="Microsoft New Tai Lue"/>
                      <w:color w:val="000000"/>
                      <w:sz w:val="26"/>
                      <w:szCs w:val="26"/>
                      <w:lang w:eastAsia="en-GB"/>
                    </w:rPr>
                  </w:pPr>
                  <w:r>
                    <w:rPr>
                      <w:rFonts w:ascii="Microsoft New Tai Lue" w:hAnsi="Microsoft New Tai Lue" w:cs="Microsoft New Tai Lue"/>
                      <w:noProof/>
                      <w:color w:val="000000"/>
                      <w:sz w:val="26"/>
                      <w:szCs w:val="26"/>
                      <w:lang w:eastAsia="en-GB"/>
                    </w:rPr>
                    <mc:AlternateContent>
                      <mc:Choice Requires="wps">
                        <w:drawing>
                          <wp:anchor distT="0" distB="0" distL="114300" distR="114300" simplePos="0" relativeHeight="251696128" behindDoc="0" locked="0" layoutInCell="1" allowOverlap="1" wp14:anchorId="1312D24F" wp14:editId="38197088">
                            <wp:simplePos x="0" y="0"/>
                            <wp:positionH relativeFrom="column">
                              <wp:posOffset>340995</wp:posOffset>
                            </wp:positionH>
                            <wp:positionV relativeFrom="paragraph">
                              <wp:posOffset>36830</wp:posOffset>
                            </wp:positionV>
                            <wp:extent cx="304800" cy="209550"/>
                            <wp:effectExtent l="0" t="19050" r="38100" b="38100"/>
                            <wp:wrapNone/>
                            <wp:docPr id="967987429" name="Arrow: Right 1"/>
                            <wp:cNvGraphicFramePr/>
                            <a:graphic xmlns:a="http://schemas.openxmlformats.org/drawingml/2006/main">
                              <a:graphicData uri="http://schemas.microsoft.com/office/word/2010/wordprocessingShape">
                                <wps:wsp>
                                  <wps:cNvSpPr/>
                                  <wps:spPr>
                                    <a:xfrm>
                                      <a:off x="0" y="0"/>
                                      <a:ext cx="304800" cy="209550"/>
                                    </a:xfrm>
                                    <a:prstGeom prst="rightArrow">
                                      <a:avLst/>
                                    </a:prstGeom>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07C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6.85pt;margin-top:2.9pt;width:24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" adj="14175" fillcolor="#a5a5a5 [3206]" strokecolor="#181818 [486]" strokeweight="1pt"/>
                        </w:pict>
                      </mc:Fallback>
                    </mc:AlternateContent>
                  </w:r>
                  <w:r w:rsidR="00274C63" w:rsidRPr="00E77DBA">
                    <w:rPr>
                      <w:rFonts w:ascii="Microsoft New Tai Lue" w:hAnsi="Microsoft New Tai Lue" w:cs="Microsoft New Tai Lue"/>
                      <w:color w:val="000000"/>
                      <w:sz w:val="26"/>
                      <w:szCs w:val="26"/>
                      <w:lang w:eastAsia="en-GB"/>
                    </w:rPr>
                    <w:t>9</w:t>
                  </w:r>
                  <w:r w:rsidR="00B204A7">
                    <w:rPr>
                      <w:rFonts w:ascii="Microsoft New Tai Lue" w:hAnsi="Microsoft New Tai Lue" w:cs="Microsoft New Tai Lue"/>
                      <w:color w:val="000000"/>
                      <w:sz w:val="26"/>
                      <w:szCs w:val="26"/>
                      <w:lang w:eastAsia="en-GB"/>
                    </w:rPr>
                    <w:t xml:space="preserve">             </w:t>
                  </w:r>
                  <w:proofErr w:type="gramStart"/>
                  <w:r w:rsidR="00B204A7">
                    <w:rPr>
                      <w:rFonts w:ascii="Microsoft New Tai Lue" w:hAnsi="Microsoft New Tai Lue" w:cs="Microsoft New Tai Lue"/>
                      <w:color w:val="000000"/>
                      <w:sz w:val="26"/>
                      <w:szCs w:val="26"/>
                      <w:lang w:eastAsia="en-GB"/>
                    </w:rPr>
                    <w:t xml:space="preserve">   (</w:t>
                  </w:r>
                  <w:proofErr w:type="gramEnd"/>
                  <w:r w:rsidR="00B204A7">
                    <w:rPr>
                      <w:rFonts w:ascii="Microsoft New Tai Lue" w:hAnsi="Microsoft New Tai Lue" w:cs="Microsoft New Tai Lue"/>
                      <w:color w:val="000000"/>
                      <w:sz w:val="26"/>
                      <w:szCs w:val="26"/>
                      <w:lang w:eastAsia="en-GB"/>
                    </w:rPr>
                    <w:t>--)</w:t>
                  </w:r>
                </w:p>
              </w:tc>
              <w:tc>
                <w:tcPr>
                  <w:tcW w:w="459" w:type="dxa"/>
                </w:tcPr>
                <w:p w14:paraId="520730BF" w14:textId="77777777" w:rsidR="00274C63" w:rsidRPr="00E77DBA" w:rsidRDefault="00274C63" w:rsidP="00274C63">
                  <w:pPr>
                    <w:rPr>
                      <w:rFonts w:ascii="Times New Roman" w:hAnsi="Times New Roman"/>
                      <w:sz w:val="20"/>
                      <w:szCs w:val="20"/>
                      <w:lang w:eastAsia="en-GB"/>
                    </w:rPr>
                  </w:pPr>
                </w:p>
              </w:tc>
              <w:tc>
                <w:tcPr>
                  <w:tcW w:w="249" w:type="dxa"/>
                </w:tcPr>
                <w:p w14:paraId="2CED0350" w14:textId="680990DC" w:rsidR="00274C63" w:rsidRPr="00E77DBA" w:rsidRDefault="00274C63" w:rsidP="00E77DBA">
                  <w:pPr>
                    <w:rPr>
                      <w:rFonts w:ascii="Times New Roman" w:hAnsi="Times New Roman"/>
                      <w:sz w:val="20"/>
                      <w:szCs w:val="20"/>
                      <w:lang w:eastAsia="en-GB"/>
                    </w:rPr>
                  </w:pPr>
                </w:p>
              </w:tc>
              <w:tc>
                <w:tcPr>
                  <w:tcW w:w="222" w:type="dxa"/>
                  <w:vAlign w:val="center"/>
                  <w:hideMark/>
                </w:tcPr>
                <w:p w14:paraId="7D51EAF5" w14:textId="2BF68F87" w:rsidR="00274C63" w:rsidRPr="00E77DBA" w:rsidRDefault="00274C63" w:rsidP="00E77DBA">
                  <w:pPr>
                    <w:rPr>
                      <w:rFonts w:ascii="Times New Roman" w:hAnsi="Times New Roman"/>
                      <w:sz w:val="20"/>
                      <w:szCs w:val="20"/>
                      <w:lang w:eastAsia="en-GB"/>
                    </w:rPr>
                  </w:pPr>
                </w:p>
              </w:tc>
            </w:tr>
            <w:tr w:rsidR="00274C63" w:rsidRPr="00E77DBA" w14:paraId="1ECC1977" w14:textId="77777777" w:rsidTr="00C52724">
              <w:trPr>
                <w:trHeight w:val="600"/>
              </w:trPr>
              <w:tc>
                <w:tcPr>
                  <w:tcW w:w="4869" w:type="dxa"/>
                  <w:tcBorders>
                    <w:top w:val="nil"/>
                    <w:left w:val="single" w:sz="4" w:space="0" w:color="auto"/>
                    <w:bottom w:val="single" w:sz="4" w:space="0" w:color="auto"/>
                    <w:right w:val="single" w:sz="4" w:space="0" w:color="auto"/>
                  </w:tcBorders>
                  <w:shd w:val="clear" w:color="auto" w:fill="auto"/>
                  <w:noWrap/>
                  <w:vAlign w:val="center"/>
                  <w:hideMark/>
                </w:tcPr>
                <w:p w14:paraId="50E58912" w14:textId="77777777" w:rsidR="00274C63" w:rsidRPr="00E77DBA" w:rsidRDefault="00274C63" w:rsidP="00E77DBA">
                  <w:pPr>
                    <w:rPr>
                      <w:rFonts w:ascii="Microsoft New Tai Lue" w:hAnsi="Microsoft New Tai Lue" w:cs="Microsoft New Tai Lue"/>
                      <w:color w:val="000000"/>
                      <w:sz w:val="26"/>
                      <w:szCs w:val="26"/>
                      <w:lang w:eastAsia="en-GB"/>
                    </w:rPr>
                  </w:pPr>
                  <w:r w:rsidRPr="00E77DBA">
                    <w:rPr>
                      <w:rFonts w:ascii="Microsoft New Tai Lue" w:hAnsi="Microsoft New Tai Lue" w:cs="Microsoft New Tai Lue"/>
                      <w:color w:val="000000"/>
                      <w:sz w:val="26"/>
                      <w:szCs w:val="26"/>
                      <w:lang w:eastAsia="en-GB"/>
                    </w:rPr>
                    <w:t>Safeguarding review of protection plan</w:t>
                  </w:r>
                </w:p>
              </w:tc>
              <w:tc>
                <w:tcPr>
                  <w:tcW w:w="2307" w:type="dxa"/>
                  <w:tcBorders>
                    <w:top w:val="nil"/>
                    <w:left w:val="nil"/>
                    <w:bottom w:val="single" w:sz="4" w:space="0" w:color="auto"/>
                    <w:right w:val="single" w:sz="4" w:space="0" w:color="auto"/>
                  </w:tcBorders>
                  <w:shd w:val="clear" w:color="auto" w:fill="auto"/>
                  <w:noWrap/>
                  <w:vAlign w:val="center"/>
                  <w:hideMark/>
                </w:tcPr>
                <w:p w14:paraId="10C85ECB" w14:textId="14098B64" w:rsidR="00274C63" w:rsidRPr="00E77DBA" w:rsidRDefault="008A587A" w:rsidP="00274C63">
                  <w:pPr>
                    <w:rPr>
                      <w:rFonts w:ascii="Microsoft New Tai Lue" w:hAnsi="Microsoft New Tai Lue" w:cs="Microsoft New Tai Lue"/>
                      <w:color w:val="000000"/>
                      <w:sz w:val="26"/>
                      <w:szCs w:val="26"/>
                      <w:lang w:eastAsia="en-GB"/>
                    </w:rPr>
                  </w:pPr>
                  <w:r w:rsidRPr="002858FB">
                    <w:rPr>
                      <w:rFonts w:ascii="Microsoft New Tai Lue" w:hAnsi="Microsoft New Tai Lue" w:cs="Microsoft New Tai Lue"/>
                      <w:noProof/>
                      <w:color w:val="FF0000"/>
                      <w:sz w:val="26"/>
                      <w:szCs w:val="26"/>
                      <w:lang w:eastAsia="en-GB"/>
                    </w:rPr>
                    <mc:AlternateContent>
                      <mc:Choice Requires="wps">
                        <w:drawing>
                          <wp:anchor distT="0" distB="0" distL="114300" distR="114300" simplePos="0" relativeHeight="251695104" behindDoc="0" locked="0" layoutInCell="1" allowOverlap="1" wp14:anchorId="02974A5C" wp14:editId="62B9FE24">
                            <wp:simplePos x="0" y="0"/>
                            <wp:positionH relativeFrom="column">
                              <wp:posOffset>388620</wp:posOffset>
                            </wp:positionH>
                            <wp:positionV relativeFrom="paragraph">
                              <wp:posOffset>-35560</wp:posOffset>
                            </wp:positionV>
                            <wp:extent cx="247650" cy="349250"/>
                            <wp:effectExtent l="19050" t="19050" r="38100" b="12700"/>
                            <wp:wrapNone/>
                            <wp:docPr id="780603496" name="Arrow: Up 1"/>
                            <wp:cNvGraphicFramePr/>
                            <a:graphic xmlns:a="http://schemas.openxmlformats.org/drawingml/2006/main">
                              <a:graphicData uri="http://schemas.microsoft.com/office/word/2010/wordprocessingShape">
                                <wps:wsp>
                                  <wps:cNvSpPr/>
                                  <wps:spPr>
                                    <a:xfrm>
                                      <a:off x="0" y="0"/>
                                      <a:ext cx="247650" cy="349250"/>
                                    </a:xfrm>
                                    <a:prstGeom prst="up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293E4" id="Arrow: Up 1" o:spid="_x0000_s1026" type="#_x0000_t68" style="position:absolute;margin-left:30.6pt;margin-top:-2.8pt;width:19.5pt;height: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" adj="7658" fillcolor="red" strokecolor="#09101d [484]" strokeweight="1pt"/>
                        </w:pict>
                      </mc:Fallback>
                    </mc:AlternateContent>
                  </w:r>
                  <w:r w:rsidR="00274C63" w:rsidRPr="00E77DBA">
                    <w:rPr>
                      <w:rFonts w:ascii="Microsoft New Tai Lue" w:hAnsi="Microsoft New Tai Lue" w:cs="Microsoft New Tai Lue"/>
                      <w:color w:val="000000"/>
                      <w:sz w:val="26"/>
                      <w:szCs w:val="26"/>
                      <w:lang w:eastAsia="en-GB"/>
                    </w:rPr>
                    <w:t>11</w:t>
                  </w:r>
                  <w:r w:rsidR="00B204A7">
                    <w:rPr>
                      <w:rFonts w:ascii="Microsoft New Tai Lue" w:hAnsi="Microsoft New Tai Lue" w:cs="Microsoft New Tai Lue"/>
                      <w:color w:val="000000"/>
                      <w:sz w:val="26"/>
                      <w:szCs w:val="26"/>
                      <w:lang w:eastAsia="en-GB"/>
                    </w:rPr>
                    <w:t xml:space="preserve">            </w:t>
                  </w:r>
                  <w:proofErr w:type="gramStart"/>
                  <w:r w:rsidR="00B204A7">
                    <w:rPr>
                      <w:rFonts w:ascii="Microsoft New Tai Lue" w:hAnsi="Microsoft New Tai Lue" w:cs="Microsoft New Tai Lue"/>
                      <w:color w:val="000000"/>
                      <w:sz w:val="26"/>
                      <w:szCs w:val="26"/>
                      <w:lang w:eastAsia="en-GB"/>
                    </w:rPr>
                    <w:t xml:space="preserve">   </w:t>
                  </w:r>
                  <w:r w:rsidR="00B204A7" w:rsidRPr="00B204A7">
                    <w:rPr>
                      <w:rFonts w:ascii="Microsoft New Tai Lue" w:hAnsi="Microsoft New Tai Lue" w:cs="Microsoft New Tai Lue"/>
                      <w:color w:val="FF0000"/>
                      <w:sz w:val="26"/>
                      <w:szCs w:val="26"/>
                      <w:lang w:eastAsia="en-GB"/>
                    </w:rPr>
                    <w:t>(</w:t>
                  </w:r>
                  <w:proofErr w:type="gramEnd"/>
                  <w:r w:rsidR="00B204A7" w:rsidRPr="00B204A7">
                    <w:rPr>
                      <w:rFonts w:ascii="Microsoft New Tai Lue" w:hAnsi="Microsoft New Tai Lue" w:cs="Microsoft New Tai Lue"/>
                      <w:color w:val="FF0000"/>
                      <w:sz w:val="26"/>
                      <w:szCs w:val="26"/>
                      <w:lang w:eastAsia="en-GB"/>
                    </w:rPr>
                    <w:t>+2)</w:t>
                  </w:r>
                </w:p>
              </w:tc>
              <w:tc>
                <w:tcPr>
                  <w:tcW w:w="459" w:type="dxa"/>
                </w:tcPr>
                <w:p w14:paraId="06477592" w14:textId="77777777" w:rsidR="00274C63" w:rsidRPr="00E77DBA" w:rsidRDefault="00274C63" w:rsidP="00274C63">
                  <w:pPr>
                    <w:rPr>
                      <w:rFonts w:ascii="Times New Roman" w:hAnsi="Times New Roman"/>
                      <w:sz w:val="20"/>
                      <w:szCs w:val="20"/>
                      <w:lang w:eastAsia="en-GB"/>
                    </w:rPr>
                  </w:pPr>
                </w:p>
              </w:tc>
              <w:tc>
                <w:tcPr>
                  <w:tcW w:w="249" w:type="dxa"/>
                </w:tcPr>
                <w:p w14:paraId="34F05AB3" w14:textId="0E08E50A" w:rsidR="00274C63" w:rsidRPr="00E77DBA" w:rsidRDefault="00274C63" w:rsidP="00E77DBA">
                  <w:pPr>
                    <w:rPr>
                      <w:rFonts w:ascii="Times New Roman" w:hAnsi="Times New Roman"/>
                      <w:sz w:val="20"/>
                      <w:szCs w:val="20"/>
                      <w:lang w:eastAsia="en-GB"/>
                    </w:rPr>
                  </w:pPr>
                </w:p>
              </w:tc>
              <w:tc>
                <w:tcPr>
                  <w:tcW w:w="222" w:type="dxa"/>
                  <w:vAlign w:val="center"/>
                  <w:hideMark/>
                </w:tcPr>
                <w:p w14:paraId="71E950C2" w14:textId="330DD6A6" w:rsidR="00274C63" w:rsidRPr="00E77DBA" w:rsidRDefault="00274C63" w:rsidP="00E77DBA">
                  <w:pPr>
                    <w:rPr>
                      <w:rFonts w:ascii="Times New Roman" w:hAnsi="Times New Roman"/>
                      <w:sz w:val="20"/>
                      <w:szCs w:val="20"/>
                      <w:lang w:eastAsia="en-GB"/>
                    </w:rPr>
                  </w:pPr>
                </w:p>
              </w:tc>
            </w:tr>
            <w:tr w:rsidR="00274C63" w:rsidRPr="00E77DBA" w14:paraId="3469265E" w14:textId="77777777" w:rsidTr="00C52724">
              <w:trPr>
                <w:trHeight w:val="600"/>
              </w:trPr>
              <w:tc>
                <w:tcPr>
                  <w:tcW w:w="4869" w:type="dxa"/>
                  <w:tcBorders>
                    <w:top w:val="nil"/>
                    <w:left w:val="single" w:sz="4" w:space="0" w:color="auto"/>
                    <w:bottom w:val="single" w:sz="4" w:space="0" w:color="auto"/>
                    <w:right w:val="single" w:sz="4" w:space="0" w:color="auto"/>
                  </w:tcBorders>
                  <w:shd w:val="clear" w:color="000000" w:fill="D9D9D9"/>
                  <w:noWrap/>
                  <w:vAlign w:val="center"/>
                  <w:hideMark/>
                </w:tcPr>
                <w:p w14:paraId="16F9AECB" w14:textId="77777777" w:rsidR="00274C63" w:rsidRPr="00E77DBA" w:rsidRDefault="00274C63" w:rsidP="00E77DBA">
                  <w:pPr>
                    <w:rPr>
                      <w:rFonts w:ascii="Microsoft New Tai Lue" w:hAnsi="Microsoft New Tai Lue" w:cs="Microsoft New Tai Lue"/>
                      <w:b/>
                      <w:bCs/>
                      <w:color w:val="000000"/>
                      <w:sz w:val="26"/>
                      <w:szCs w:val="26"/>
                      <w:lang w:eastAsia="en-GB"/>
                    </w:rPr>
                  </w:pPr>
                  <w:r w:rsidRPr="00E77DBA">
                    <w:rPr>
                      <w:rFonts w:ascii="Microsoft New Tai Lue" w:hAnsi="Microsoft New Tai Lue" w:cs="Microsoft New Tai Lue"/>
                      <w:b/>
                      <w:bCs/>
                      <w:color w:val="000000"/>
                      <w:sz w:val="26"/>
                      <w:szCs w:val="26"/>
                      <w:lang w:eastAsia="en-GB"/>
                    </w:rPr>
                    <w:t>TOTAL</w:t>
                  </w:r>
                </w:p>
              </w:tc>
              <w:tc>
                <w:tcPr>
                  <w:tcW w:w="2307" w:type="dxa"/>
                  <w:tcBorders>
                    <w:top w:val="nil"/>
                    <w:left w:val="nil"/>
                    <w:bottom w:val="single" w:sz="4" w:space="0" w:color="auto"/>
                    <w:right w:val="single" w:sz="4" w:space="0" w:color="auto"/>
                  </w:tcBorders>
                  <w:shd w:val="clear" w:color="000000" w:fill="D9D9D9"/>
                  <w:noWrap/>
                  <w:vAlign w:val="center"/>
                  <w:hideMark/>
                </w:tcPr>
                <w:p w14:paraId="03B35CF2" w14:textId="0CD79B8D" w:rsidR="00274C63" w:rsidRPr="00E77DBA" w:rsidRDefault="00145946" w:rsidP="00274C63">
                  <w:pPr>
                    <w:rPr>
                      <w:rFonts w:ascii="Microsoft New Tai Lue" w:hAnsi="Microsoft New Tai Lue" w:cs="Microsoft New Tai Lue"/>
                      <w:b/>
                      <w:bCs/>
                      <w:color w:val="000000"/>
                      <w:sz w:val="26"/>
                      <w:szCs w:val="26"/>
                      <w:lang w:eastAsia="en-GB"/>
                    </w:rPr>
                  </w:pPr>
                  <w:r w:rsidRPr="002858FB">
                    <w:rPr>
                      <w:rFonts w:ascii="Microsoft New Tai Lue" w:hAnsi="Microsoft New Tai Lue" w:cs="Microsoft New Tai Lue"/>
                      <w:noProof/>
                      <w:color w:val="FF0000"/>
                      <w:sz w:val="26"/>
                      <w:szCs w:val="26"/>
                      <w:lang w:eastAsia="en-GB"/>
                    </w:rPr>
                    <mc:AlternateContent>
                      <mc:Choice Requires="wps">
                        <w:drawing>
                          <wp:anchor distT="0" distB="0" distL="114300" distR="114300" simplePos="0" relativeHeight="251698176" behindDoc="0" locked="0" layoutInCell="1" allowOverlap="1" wp14:anchorId="21ABBBBE" wp14:editId="2274F07A">
                            <wp:simplePos x="0" y="0"/>
                            <wp:positionH relativeFrom="column">
                              <wp:posOffset>431800</wp:posOffset>
                            </wp:positionH>
                            <wp:positionV relativeFrom="paragraph">
                              <wp:posOffset>-40005</wp:posOffset>
                            </wp:positionV>
                            <wp:extent cx="238125" cy="349250"/>
                            <wp:effectExtent l="19050" t="19050" r="47625" b="12700"/>
                            <wp:wrapNone/>
                            <wp:docPr id="556566774" name="Arrow: Up 1"/>
                            <wp:cNvGraphicFramePr/>
                            <a:graphic xmlns:a="http://schemas.openxmlformats.org/drawingml/2006/main">
                              <a:graphicData uri="http://schemas.microsoft.com/office/word/2010/wordprocessingShape">
                                <wps:wsp>
                                  <wps:cNvSpPr/>
                                  <wps:spPr>
                                    <a:xfrm>
                                      <a:off x="0" y="0"/>
                                      <a:ext cx="238125" cy="349250"/>
                                    </a:xfrm>
                                    <a:prstGeom prst="up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DF50B" id="Arrow: Up 1" o:spid="_x0000_s1026" type="#_x0000_t68" style="position:absolute;margin-left:34pt;margin-top:-3.15pt;width:18.75pt;height: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" adj="7364" fillcolor="red" strokecolor="#09101d [484]" strokeweight="1pt"/>
                        </w:pict>
                      </mc:Fallback>
                    </mc:AlternateContent>
                  </w:r>
                  <w:r w:rsidR="00274C63" w:rsidRPr="00E77DBA">
                    <w:rPr>
                      <w:rFonts w:ascii="Microsoft New Tai Lue" w:hAnsi="Microsoft New Tai Lue" w:cs="Microsoft New Tai Lue"/>
                      <w:b/>
                      <w:bCs/>
                      <w:color w:val="000000"/>
                      <w:sz w:val="26"/>
                      <w:szCs w:val="26"/>
                      <w:lang w:eastAsia="en-GB"/>
                    </w:rPr>
                    <w:t>3,937</w:t>
                  </w:r>
                  <w:r w:rsidR="00140EFB">
                    <w:rPr>
                      <w:rFonts w:ascii="Microsoft New Tai Lue" w:hAnsi="Microsoft New Tai Lue" w:cs="Microsoft New Tai Lue"/>
                      <w:b/>
                      <w:bCs/>
                      <w:color w:val="000000"/>
                      <w:sz w:val="26"/>
                      <w:szCs w:val="26"/>
                      <w:lang w:eastAsia="en-GB"/>
                    </w:rPr>
                    <w:t xml:space="preserve">     </w:t>
                  </w:r>
                  <w:proofErr w:type="gramStart"/>
                  <w:r w:rsidR="00140EFB">
                    <w:rPr>
                      <w:rFonts w:ascii="Microsoft New Tai Lue" w:hAnsi="Microsoft New Tai Lue" w:cs="Microsoft New Tai Lue"/>
                      <w:b/>
                      <w:bCs/>
                      <w:color w:val="000000"/>
                      <w:sz w:val="26"/>
                      <w:szCs w:val="26"/>
                      <w:lang w:eastAsia="en-GB"/>
                    </w:rPr>
                    <w:t xml:space="preserve">   </w:t>
                  </w:r>
                  <w:r w:rsidR="00140EFB" w:rsidRPr="00140EFB">
                    <w:rPr>
                      <w:rFonts w:ascii="Microsoft New Tai Lue" w:hAnsi="Microsoft New Tai Lue" w:cs="Microsoft New Tai Lue"/>
                      <w:b/>
                      <w:bCs/>
                      <w:color w:val="FF0000"/>
                      <w:sz w:val="26"/>
                      <w:szCs w:val="26"/>
                      <w:lang w:eastAsia="en-GB"/>
                    </w:rPr>
                    <w:t>(</w:t>
                  </w:r>
                  <w:proofErr w:type="gramEnd"/>
                  <w:r w:rsidR="00140EFB" w:rsidRPr="00140EFB">
                    <w:rPr>
                      <w:rFonts w:ascii="Microsoft New Tai Lue" w:hAnsi="Microsoft New Tai Lue" w:cs="Microsoft New Tai Lue"/>
                      <w:b/>
                      <w:bCs/>
                      <w:color w:val="FF0000"/>
                      <w:sz w:val="26"/>
                      <w:szCs w:val="26"/>
                      <w:lang w:eastAsia="en-GB"/>
                    </w:rPr>
                    <w:t>+500)</w:t>
                  </w:r>
                </w:p>
              </w:tc>
              <w:tc>
                <w:tcPr>
                  <w:tcW w:w="459" w:type="dxa"/>
                </w:tcPr>
                <w:p w14:paraId="33CE1247" w14:textId="77777777" w:rsidR="00274C63" w:rsidRPr="00E77DBA" w:rsidRDefault="00274C63" w:rsidP="00274C63">
                  <w:pPr>
                    <w:rPr>
                      <w:rFonts w:ascii="Times New Roman" w:hAnsi="Times New Roman"/>
                      <w:sz w:val="20"/>
                      <w:szCs w:val="20"/>
                      <w:lang w:eastAsia="en-GB"/>
                    </w:rPr>
                  </w:pPr>
                </w:p>
              </w:tc>
              <w:tc>
                <w:tcPr>
                  <w:tcW w:w="249" w:type="dxa"/>
                </w:tcPr>
                <w:p w14:paraId="7B32A7E3" w14:textId="0F510F8B" w:rsidR="00274C63" w:rsidRPr="00E77DBA" w:rsidRDefault="00274C63" w:rsidP="00E77DBA">
                  <w:pPr>
                    <w:rPr>
                      <w:rFonts w:ascii="Times New Roman" w:hAnsi="Times New Roman"/>
                      <w:sz w:val="20"/>
                      <w:szCs w:val="20"/>
                      <w:lang w:eastAsia="en-GB"/>
                    </w:rPr>
                  </w:pPr>
                </w:p>
              </w:tc>
              <w:tc>
                <w:tcPr>
                  <w:tcW w:w="222" w:type="dxa"/>
                  <w:vAlign w:val="center"/>
                  <w:hideMark/>
                </w:tcPr>
                <w:p w14:paraId="13015010" w14:textId="6F145CA2" w:rsidR="00274C63" w:rsidRPr="00E77DBA" w:rsidRDefault="00274C63" w:rsidP="00E77DBA">
                  <w:pPr>
                    <w:rPr>
                      <w:rFonts w:ascii="Times New Roman" w:hAnsi="Times New Roman"/>
                      <w:sz w:val="20"/>
                      <w:szCs w:val="20"/>
                      <w:lang w:eastAsia="en-GB"/>
                    </w:rPr>
                  </w:pPr>
                </w:p>
              </w:tc>
            </w:tr>
          </w:tbl>
          <w:p w14:paraId="0C43DFAF" w14:textId="77777777" w:rsidR="00104F60" w:rsidRPr="002858FB" w:rsidRDefault="00104F60" w:rsidP="00104F60">
            <w:pPr>
              <w:rPr>
                <w:rFonts w:cs="Arial"/>
                <w:color w:val="FF0000"/>
              </w:rPr>
            </w:pPr>
          </w:p>
        </w:tc>
      </w:tr>
      <w:tr w:rsidR="00104F60" w:rsidRPr="002858FB" w14:paraId="2AC606F8" w14:textId="77777777" w:rsidTr="005E4608">
        <w:trPr>
          <w:trHeight w:val="319"/>
          <w:tblCellSpacing w:w="11" w:type="dxa"/>
        </w:trPr>
        <w:tc>
          <w:tcPr>
            <w:tcW w:w="499" w:type="pct"/>
          </w:tcPr>
          <w:p w14:paraId="3CA1A97C" w14:textId="77777777" w:rsidR="00104F60" w:rsidRPr="002858FB" w:rsidRDefault="00104F60" w:rsidP="00104F60">
            <w:pPr>
              <w:pStyle w:val="ReportHead2"/>
              <w:keepNext w:val="0"/>
              <w:tabs>
                <w:tab w:val="num" w:pos="714"/>
              </w:tabs>
              <w:rPr>
                <w:rFonts w:ascii="Atkinson Hyperlegible" w:hAnsi="Atkinson Hyperlegible"/>
                <w:color w:val="FF0000"/>
                <w:szCs w:val="24"/>
              </w:rPr>
            </w:pPr>
          </w:p>
        </w:tc>
        <w:tc>
          <w:tcPr>
            <w:tcW w:w="4466" w:type="pct"/>
            <w:gridSpan w:val="2"/>
          </w:tcPr>
          <w:p w14:paraId="697F9BE9" w14:textId="2DE457BC" w:rsidR="00104F60" w:rsidRDefault="00104F60" w:rsidP="00104F60">
            <w:pPr>
              <w:rPr>
                <w:rFonts w:ascii="Atkinson Hyperlegible" w:hAnsi="Atkinson Hyperlegible" w:cs="Arial"/>
              </w:rPr>
            </w:pPr>
            <w:r w:rsidRPr="00933A99">
              <w:rPr>
                <w:rFonts w:ascii="Atkinson Hyperlegible" w:hAnsi="Atkinson Hyperlegible" w:cs="Arial"/>
                <w:b/>
                <w:bCs/>
              </w:rPr>
              <w:t xml:space="preserve">Occupational </w:t>
            </w:r>
            <w:r w:rsidR="001B4292" w:rsidRPr="00773D7C">
              <w:rPr>
                <w:rFonts w:ascii="Atkinson Hyperlegible" w:hAnsi="Atkinson Hyperlegible" w:cs="Arial"/>
                <w:b/>
                <w:bCs/>
              </w:rPr>
              <w:t>Therapy Review</w:t>
            </w:r>
          </w:p>
          <w:p w14:paraId="7A159F40" w14:textId="4688684F" w:rsidR="00104F60" w:rsidRPr="00EE4132" w:rsidRDefault="00104F60" w:rsidP="00104F60">
            <w:pPr>
              <w:rPr>
                <w:rFonts w:cs="Arial"/>
                <w:color w:val="00B050"/>
              </w:rPr>
            </w:pPr>
            <w:r>
              <w:rPr>
                <w:rFonts w:ascii="Atkinson Hyperlegible" w:hAnsi="Atkinson Hyperlegible" w:cs="Arial"/>
              </w:rPr>
              <w:t xml:space="preserve">The number of overdue OT reviews has reduced significantly to 74, however there has been a substantial increase in Moving and Handling reviews not being completed on time. This is due </w:t>
            </w:r>
            <w:r w:rsidR="005E4608">
              <w:rPr>
                <w:rFonts w:ascii="Atkinson Hyperlegible" w:hAnsi="Atkinson Hyperlegible" w:cs="Arial"/>
              </w:rPr>
              <w:t xml:space="preserve">to </w:t>
            </w:r>
            <w:r>
              <w:rPr>
                <w:rFonts w:ascii="Atkinson Hyperlegible" w:hAnsi="Atkinson Hyperlegible" w:cs="Arial"/>
              </w:rPr>
              <w:t>historical use of an outside agency resulting in an unusually high number of people being marked for their annual review in January.</w:t>
            </w:r>
          </w:p>
          <w:p w14:paraId="20EFCE32" w14:textId="12BA9045" w:rsidR="00104F60" w:rsidRPr="002858FB" w:rsidRDefault="00104F60" w:rsidP="00104F60">
            <w:pPr>
              <w:rPr>
                <w:rFonts w:cs="Arial"/>
                <w:b/>
                <w:bCs/>
                <w:color w:val="FF0000"/>
                <w:sz w:val="20"/>
                <w:szCs w:val="20"/>
                <w:u w:val="single"/>
                <w:lang w:eastAsia="en-GB"/>
              </w:rPr>
            </w:pPr>
          </w:p>
        </w:tc>
      </w:tr>
      <w:tr w:rsidR="00104F60" w:rsidRPr="002858FB" w14:paraId="09F0F455" w14:textId="77777777" w:rsidTr="005E4608">
        <w:trPr>
          <w:trHeight w:val="319"/>
          <w:tblCellSpacing w:w="11" w:type="dxa"/>
        </w:trPr>
        <w:tc>
          <w:tcPr>
            <w:tcW w:w="499" w:type="pct"/>
          </w:tcPr>
          <w:p w14:paraId="1F2F7B12" w14:textId="77777777" w:rsidR="00104F60" w:rsidRPr="002858FB" w:rsidRDefault="00104F60" w:rsidP="00104F60">
            <w:pPr>
              <w:pStyle w:val="ReportHead2"/>
              <w:keepNext w:val="0"/>
              <w:tabs>
                <w:tab w:val="num" w:pos="714"/>
              </w:tabs>
              <w:rPr>
                <w:rFonts w:ascii="Atkinson Hyperlegible" w:hAnsi="Atkinson Hyperlegible"/>
                <w:color w:val="FF0000"/>
                <w:szCs w:val="24"/>
              </w:rPr>
            </w:pPr>
          </w:p>
        </w:tc>
        <w:tc>
          <w:tcPr>
            <w:tcW w:w="4466" w:type="pct"/>
            <w:gridSpan w:val="2"/>
          </w:tcPr>
          <w:p w14:paraId="50E20F05" w14:textId="083C86F6" w:rsidR="00477B4D" w:rsidRDefault="00C640F7" w:rsidP="00104F60">
            <w:pPr>
              <w:rPr>
                <w:rFonts w:ascii="Atkinson Hyperlegible" w:hAnsi="Atkinson Hyperlegible" w:cs="Arial"/>
                <w:b/>
                <w:bCs/>
              </w:rPr>
            </w:pPr>
            <w:r>
              <w:rPr>
                <w:rFonts w:ascii="Atkinson Hyperlegible" w:hAnsi="Atkinson Hyperlegible" w:cs="Arial"/>
                <w:b/>
                <w:bCs/>
              </w:rPr>
              <w:t>O</w:t>
            </w:r>
            <w:r w:rsidR="00477B4D">
              <w:rPr>
                <w:rFonts w:ascii="Atkinson Hyperlegible" w:hAnsi="Atkinson Hyperlegible" w:cs="Arial"/>
                <w:b/>
                <w:bCs/>
              </w:rPr>
              <w:t xml:space="preserve">ut of Area reviews </w:t>
            </w:r>
          </w:p>
          <w:p w14:paraId="7B9122CC" w14:textId="188813EC" w:rsidR="00104F60" w:rsidRPr="002858FB" w:rsidRDefault="00A6245F" w:rsidP="00104F60">
            <w:pPr>
              <w:rPr>
                <w:rFonts w:cs="Arial"/>
                <w:color w:val="FF0000"/>
              </w:rPr>
            </w:pPr>
            <w:r>
              <w:rPr>
                <w:rFonts w:ascii="Atkinson Hyperlegible" w:hAnsi="Atkinson Hyperlegible" w:cs="Arial"/>
              </w:rPr>
              <w:t>O</w:t>
            </w:r>
            <w:r w:rsidR="00477B4D">
              <w:rPr>
                <w:rFonts w:ascii="Atkinson Hyperlegible" w:hAnsi="Atkinson Hyperlegible" w:cs="Arial"/>
              </w:rPr>
              <w:t xml:space="preserve">ut of Area reviews are already undertaken </w:t>
            </w:r>
            <w:r w:rsidR="00464CB9">
              <w:rPr>
                <w:rFonts w:ascii="Atkinson Hyperlegible" w:hAnsi="Atkinson Hyperlegible" w:cs="Arial"/>
              </w:rPr>
              <w:t xml:space="preserve">in person where </w:t>
            </w:r>
            <w:r w:rsidR="00C9757E">
              <w:rPr>
                <w:rFonts w:ascii="Atkinson Hyperlegible" w:hAnsi="Atkinson Hyperlegible" w:cs="Arial"/>
              </w:rPr>
              <w:t>possible but</w:t>
            </w:r>
            <w:r w:rsidR="00464CB9">
              <w:rPr>
                <w:rFonts w:ascii="Atkinson Hyperlegible" w:hAnsi="Atkinson Hyperlegible" w:cs="Arial"/>
              </w:rPr>
              <w:t xml:space="preserve"> following the request</w:t>
            </w:r>
            <w:r w:rsidR="00996F74">
              <w:rPr>
                <w:rFonts w:ascii="Atkinson Hyperlegible" w:hAnsi="Atkinson Hyperlegible" w:cs="Arial"/>
              </w:rPr>
              <w:t xml:space="preserve"> </w:t>
            </w:r>
            <w:r w:rsidR="00464CB9">
              <w:rPr>
                <w:rFonts w:ascii="Atkinson Hyperlegible" w:hAnsi="Atkinson Hyperlegible" w:cs="Arial"/>
              </w:rPr>
              <w:t xml:space="preserve">of the subgroup in November to consider increasing the frequency </w:t>
            </w:r>
            <w:r w:rsidR="006F4987">
              <w:rPr>
                <w:rFonts w:ascii="Atkinson Hyperlegible" w:hAnsi="Atkinson Hyperlegible" w:cs="Arial"/>
              </w:rPr>
              <w:t xml:space="preserve">of </w:t>
            </w:r>
            <w:r w:rsidR="00C9757E">
              <w:rPr>
                <w:rFonts w:ascii="Atkinson Hyperlegible" w:hAnsi="Atkinson Hyperlegible" w:cs="Arial"/>
              </w:rPr>
              <w:lastRenderedPageBreak/>
              <w:t>face-to-</w:t>
            </w:r>
            <w:r w:rsidR="00750816">
              <w:rPr>
                <w:rFonts w:ascii="Atkinson Hyperlegible" w:hAnsi="Atkinson Hyperlegible" w:cs="Arial"/>
              </w:rPr>
              <w:t>f</w:t>
            </w:r>
            <w:r w:rsidR="00C9757E">
              <w:rPr>
                <w:rFonts w:ascii="Atkinson Hyperlegible" w:hAnsi="Atkinson Hyperlegible" w:cs="Arial"/>
              </w:rPr>
              <w:t>ace</w:t>
            </w:r>
            <w:r w:rsidR="006F4987">
              <w:rPr>
                <w:rFonts w:ascii="Atkinson Hyperlegible" w:hAnsi="Atkinson Hyperlegible" w:cs="Arial"/>
              </w:rPr>
              <w:t xml:space="preserve"> reviews and mindful of the “out of sight” guidance</w:t>
            </w:r>
            <w:r w:rsidR="00C9757E">
              <w:rPr>
                <w:rFonts w:ascii="Atkinson Hyperlegible" w:hAnsi="Atkinson Hyperlegible" w:cs="Arial"/>
              </w:rPr>
              <w:t xml:space="preserve"> learning from SARs</w:t>
            </w:r>
            <w:r w:rsidR="005E4608">
              <w:rPr>
                <w:rFonts w:ascii="Atkinson Hyperlegible" w:hAnsi="Atkinson Hyperlegible" w:cs="Arial"/>
              </w:rPr>
              <w:t>, a</w:t>
            </w:r>
            <w:r w:rsidR="006F4987">
              <w:rPr>
                <w:rFonts w:ascii="Atkinson Hyperlegible" w:hAnsi="Atkinson Hyperlegible" w:cs="Arial"/>
              </w:rPr>
              <w:t xml:space="preserve"> </w:t>
            </w:r>
            <w:r w:rsidR="00E162BE">
              <w:rPr>
                <w:rFonts w:ascii="Atkinson Hyperlegible" w:hAnsi="Atkinson Hyperlegible" w:cs="Arial"/>
              </w:rPr>
              <w:t xml:space="preserve">desktop </w:t>
            </w:r>
            <w:r w:rsidR="006F4987">
              <w:rPr>
                <w:rFonts w:ascii="Atkinson Hyperlegible" w:hAnsi="Atkinson Hyperlegible" w:cs="Arial"/>
              </w:rPr>
              <w:t xml:space="preserve">review of all overdue out of area reviews has been </w:t>
            </w:r>
            <w:r w:rsidR="00E162BE">
              <w:rPr>
                <w:rFonts w:ascii="Atkinson Hyperlegible" w:hAnsi="Atkinson Hyperlegible" w:cs="Arial"/>
              </w:rPr>
              <w:t>under</w:t>
            </w:r>
            <w:r w:rsidR="006F4987">
              <w:rPr>
                <w:rFonts w:ascii="Atkinson Hyperlegible" w:hAnsi="Atkinson Hyperlegible" w:cs="Arial"/>
              </w:rPr>
              <w:t xml:space="preserve">taken in </w:t>
            </w:r>
            <w:r w:rsidR="00C9757E">
              <w:rPr>
                <w:rFonts w:ascii="Atkinson Hyperlegible" w:hAnsi="Atkinson Hyperlegible" w:cs="Arial"/>
              </w:rPr>
              <w:t>January.</w:t>
            </w:r>
          </w:p>
        </w:tc>
      </w:tr>
      <w:tr w:rsidR="00E162BE" w:rsidRPr="002858FB" w14:paraId="39E0F635" w14:textId="77777777" w:rsidTr="005E4608">
        <w:trPr>
          <w:trHeight w:val="319"/>
          <w:tblCellSpacing w:w="11" w:type="dxa"/>
        </w:trPr>
        <w:tc>
          <w:tcPr>
            <w:tcW w:w="499" w:type="pct"/>
          </w:tcPr>
          <w:p w14:paraId="767CEC2E" w14:textId="77777777" w:rsidR="00E162BE" w:rsidRPr="002858FB" w:rsidRDefault="00E162BE" w:rsidP="00104F60">
            <w:pPr>
              <w:pStyle w:val="ReportHead2"/>
              <w:keepNext w:val="0"/>
              <w:tabs>
                <w:tab w:val="num" w:pos="714"/>
              </w:tabs>
              <w:rPr>
                <w:rFonts w:ascii="Atkinson Hyperlegible" w:hAnsi="Atkinson Hyperlegible"/>
                <w:color w:val="FF0000"/>
                <w:szCs w:val="24"/>
              </w:rPr>
            </w:pPr>
          </w:p>
        </w:tc>
        <w:tc>
          <w:tcPr>
            <w:tcW w:w="4466" w:type="pct"/>
            <w:gridSpan w:val="2"/>
          </w:tcPr>
          <w:p w14:paraId="317D959A" w14:textId="0DED94D4" w:rsidR="00E162BE" w:rsidRPr="00996F74" w:rsidRDefault="004F1168" w:rsidP="008B13FB">
            <w:pPr>
              <w:rPr>
                <w:rFonts w:ascii="Atkinson Hyperlegible" w:hAnsi="Atkinson Hyperlegible" w:cs="Arial"/>
              </w:rPr>
            </w:pPr>
            <w:r>
              <w:rPr>
                <w:rFonts w:ascii="Atkinson Hyperlegible" w:hAnsi="Atkinson Hyperlegible" w:cs="Arial"/>
              </w:rPr>
              <w:t>The review</w:t>
            </w:r>
            <w:r w:rsidR="00DE2D88">
              <w:rPr>
                <w:rFonts w:ascii="Atkinson Hyperlegible" w:hAnsi="Atkinson Hyperlegible" w:cs="Arial"/>
              </w:rPr>
              <w:t xml:space="preserve"> </w:t>
            </w:r>
            <w:r w:rsidR="00BE1620">
              <w:rPr>
                <w:rFonts w:ascii="Atkinson Hyperlegible" w:hAnsi="Atkinson Hyperlegible" w:cs="Arial"/>
              </w:rPr>
              <w:t xml:space="preserve">has </w:t>
            </w:r>
            <w:r w:rsidR="00DE2D88">
              <w:rPr>
                <w:rFonts w:ascii="Atkinson Hyperlegible" w:hAnsi="Atkinson Hyperlegible" w:cs="Arial"/>
              </w:rPr>
              <w:t xml:space="preserve">found a total 158 </w:t>
            </w:r>
            <w:r w:rsidR="005E4608">
              <w:rPr>
                <w:rFonts w:ascii="Atkinson Hyperlegible" w:hAnsi="Atkinson Hyperlegible" w:cs="Arial"/>
              </w:rPr>
              <w:t>O</w:t>
            </w:r>
            <w:r w:rsidR="00DE2D88">
              <w:rPr>
                <w:rFonts w:ascii="Atkinson Hyperlegible" w:hAnsi="Atkinson Hyperlegible" w:cs="Arial"/>
              </w:rPr>
              <w:t>ut of County reviews wer</w:t>
            </w:r>
            <w:r w:rsidR="00191DEE">
              <w:rPr>
                <w:rFonts w:ascii="Atkinson Hyperlegible" w:hAnsi="Atkinson Hyperlegible" w:cs="Arial"/>
              </w:rPr>
              <w:t>e</w:t>
            </w:r>
            <w:r w:rsidR="00DE2D88">
              <w:rPr>
                <w:rFonts w:ascii="Atkinson Hyperlegible" w:hAnsi="Atkinson Hyperlegible" w:cs="Arial"/>
              </w:rPr>
              <w:t xml:space="preserve"> overdue</w:t>
            </w:r>
            <w:r>
              <w:rPr>
                <w:rFonts w:ascii="Atkinson Hyperlegible" w:hAnsi="Atkinson Hyperlegible" w:cs="Arial"/>
              </w:rPr>
              <w:t xml:space="preserve">. </w:t>
            </w:r>
            <w:r w:rsidR="006C08E7">
              <w:rPr>
                <w:rFonts w:ascii="Atkinson Hyperlegible" w:hAnsi="Atkinson Hyperlegible" w:cs="Arial"/>
              </w:rPr>
              <w:t xml:space="preserve">Exactly half of </w:t>
            </w:r>
            <w:r w:rsidR="00E505EB">
              <w:rPr>
                <w:rFonts w:ascii="Atkinson Hyperlegible" w:hAnsi="Atkinson Hyperlegible" w:cs="Arial"/>
              </w:rPr>
              <w:t>these</w:t>
            </w:r>
            <w:r w:rsidR="006C08E7">
              <w:rPr>
                <w:rFonts w:ascii="Atkinson Hyperlegible" w:hAnsi="Atkinson Hyperlegible" w:cs="Arial"/>
              </w:rPr>
              <w:t xml:space="preserve"> (79)</w:t>
            </w:r>
            <w:r w:rsidR="00E505EB">
              <w:rPr>
                <w:rFonts w:ascii="Atkinson Hyperlegible" w:hAnsi="Atkinson Hyperlegible" w:cs="Arial"/>
              </w:rPr>
              <w:t xml:space="preserve"> </w:t>
            </w:r>
            <w:r w:rsidR="00C640F7">
              <w:rPr>
                <w:rFonts w:ascii="Atkinson Hyperlegible" w:hAnsi="Atkinson Hyperlegible" w:cs="Arial"/>
              </w:rPr>
              <w:t>are in the neighbouring authorities of Devon</w:t>
            </w:r>
            <w:r w:rsidR="00F42082">
              <w:rPr>
                <w:rFonts w:ascii="Atkinson Hyperlegible" w:hAnsi="Atkinson Hyperlegible" w:cs="Arial"/>
              </w:rPr>
              <w:t xml:space="preserve">, North Somerset, </w:t>
            </w:r>
            <w:r w:rsidR="00443671">
              <w:rPr>
                <w:rFonts w:ascii="Atkinson Hyperlegible" w:hAnsi="Atkinson Hyperlegible" w:cs="Arial"/>
              </w:rPr>
              <w:t xml:space="preserve">BANES, </w:t>
            </w:r>
            <w:r w:rsidR="00C9757E">
              <w:rPr>
                <w:rFonts w:ascii="Atkinson Hyperlegible" w:hAnsi="Atkinson Hyperlegible" w:cs="Arial"/>
              </w:rPr>
              <w:t>Bristol,</w:t>
            </w:r>
            <w:r w:rsidR="00F42082">
              <w:rPr>
                <w:rFonts w:ascii="Atkinson Hyperlegible" w:hAnsi="Atkinson Hyperlegible" w:cs="Arial"/>
              </w:rPr>
              <w:t xml:space="preserve"> and Dorset.</w:t>
            </w:r>
            <w:r w:rsidR="00191DEE">
              <w:rPr>
                <w:rFonts w:ascii="Atkinson Hyperlegible" w:hAnsi="Atkinson Hyperlegible" w:cs="Arial"/>
              </w:rPr>
              <w:t xml:space="preserve"> </w:t>
            </w:r>
            <w:r w:rsidR="005E4608">
              <w:rPr>
                <w:rFonts w:ascii="Atkinson Hyperlegible" w:hAnsi="Atkinson Hyperlegible" w:cs="Arial"/>
              </w:rPr>
              <w:t>Another</w:t>
            </w:r>
            <w:r w:rsidR="00191DEE">
              <w:rPr>
                <w:rFonts w:ascii="Atkinson Hyperlegible" w:hAnsi="Atkinson Hyperlegible" w:cs="Arial"/>
              </w:rPr>
              <w:t xml:space="preserve"> </w:t>
            </w:r>
            <w:r w:rsidR="00636A6F">
              <w:rPr>
                <w:rFonts w:ascii="Atkinson Hyperlegible" w:hAnsi="Atkinson Hyperlegible" w:cs="Arial"/>
              </w:rPr>
              <w:t xml:space="preserve">12 </w:t>
            </w:r>
            <w:r w:rsidR="005E4608">
              <w:rPr>
                <w:rFonts w:ascii="Atkinson Hyperlegible" w:hAnsi="Atkinson Hyperlegible" w:cs="Arial"/>
              </w:rPr>
              <w:t>are in</w:t>
            </w:r>
            <w:r w:rsidR="00636A6F">
              <w:rPr>
                <w:rFonts w:ascii="Atkinson Hyperlegible" w:hAnsi="Atkinson Hyperlegible" w:cs="Arial"/>
              </w:rPr>
              <w:t xml:space="preserve"> </w:t>
            </w:r>
            <w:r w:rsidR="00C9757E">
              <w:rPr>
                <w:rFonts w:ascii="Atkinson Hyperlegible" w:hAnsi="Atkinson Hyperlegible" w:cs="Arial"/>
              </w:rPr>
              <w:t>South</w:t>
            </w:r>
            <w:r w:rsidR="005E4608">
              <w:rPr>
                <w:rFonts w:ascii="Atkinson Hyperlegible" w:hAnsi="Atkinson Hyperlegible" w:cs="Arial"/>
              </w:rPr>
              <w:t>-</w:t>
            </w:r>
            <w:r w:rsidR="00C9757E">
              <w:rPr>
                <w:rFonts w:ascii="Atkinson Hyperlegible" w:hAnsi="Atkinson Hyperlegible" w:cs="Arial"/>
              </w:rPr>
              <w:t>western</w:t>
            </w:r>
            <w:r w:rsidR="00636A6F">
              <w:rPr>
                <w:rFonts w:ascii="Atkinson Hyperlegible" w:hAnsi="Atkinson Hyperlegible" w:cs="Arial"/>
              </w:rPr>
              <w:t xml:space="preserve"> Local authority areas.</w:t>
            </w:r>
          </w:p>
        </w:tc>
      </w:tr>
      <w:tr w:rsidR="002C11DA" w:rsidRPr="002858FB" w14:paraId="56F15EB2" w14:textId="77777777" w:rsidTr="005E4608">
        <w:trPr>
          <w:trHeight w:val="319"/>
          <w:tblCellSpacing w:w="11" w:type="dxa"/>
        </w:trPr>
        <w:tc>
          <w:tcPr>
            <w:tcW w:w="499" w:type="pct"/>
          </w:tcPr>
          <w:p w14:paraId="3FEE2CCF" w14:textId="77777777" w:rsidR="002C11DA" w:rsidRPr="002858FB" w:rsidRDefault="002C11DA" w:rsidP="00104F60">
            <w:pPr>
              <w:pStyle w:val="ReportHead2"/>
              <w:keepNext w:val="0"/>
              <w:tabs>
                <w:tab w:val="num" w:pos="714"/>
              </w:tabs>
              <w:rPr>
                <w:rFonts w:ascii="Atkinson Hyperlegible" w:hAnsi="Atkinson Hyperlegible"/>
                <w:color w:val="FF0000"/>
                <w:szCs w:val="24"/>
              </w:rPr>
            </w:pPr>
          </w:p>
        </w:tc>
        <w:tc>
          <w:tcPr>
            <w:tcW w:w="4466" w:type="pct"/>
            <w:gridSpan w:val="2"/>
          </w:tcPr>
          <w:p w14:paraId="2F39C96E" w14:textId="6645C6CB" w:rsidR="002C11DA" w:rsidRDefault="00245F4E" w:rsidP="008B13FB">
            <w:pPr>
              <w:rPr>
                <w:rFonts w:ascii="Atkinson Hyperlegible" w:hAnsi="Atkinson Hyperlegible" w:cs="Arial"/>
              </w:rPr>
            </w:pPr>
            <w:r>
              <w:rPr>
                <w:rFonts w:ascii="Atkinson Hyperlegible" w:hAnsi="Atkinson Hyperlegible" w:cs="Arial"/>
              </w:rPr>
              <w:t xml:space="preserve">The 50 most </w:t>
            </w:r>
            <w:r w:rsidR="00C9757E">
              <w:rPr>
                <w:rFonts w:ascii="Atkinson Hyperlegible" w:hAnsi="Atkinson Hyperlegible" w:cs="Arial"/>
              </w:rPr>
              <w:t>overdue</w:t>
            </w:r>
            <w:r>
              <w:rPr>
                <w:rFonts w:ascii="Atkinson Hyperlegible" w:hAnsi="Atkinson Hyperlegible" w:cs="Arial"/>
              </w:rPr>
              <w:t xml:space="preserve"> reviews have been </w:t>
            </w:r>
            <w:r w:rsidR="00145AC2">
              <w:rPr>
                <w:rFonts w:ascii="Atkinson Hyperlegible" w:hAnsi="Atkinson Hyperlegible" w:cs="Arial"/>
              </w:rPr>
              <w:t xml:space="preserve">further </w:t>
            </w:r>
            <w:r>
              <w:rPr>
                <w:rFonts w:ascii="Atkinson Hyperlegible" w:hAnsi="Atkinson Hyperlegible" w:cs="Arial"/>
              </w:rPr>
              <w:t xml:space="preserve">scrutinised to consider </w:t>
            </w:r>
            <w:r w:rsidR="00BB3ACB">
              <w:rPr>
                <w:rFonts w:ascii="Atkinson Hyperlegible" w:hAnsi="Atkinson Hyperlegible" w:cs="Arial"/>
              </w:rPr>
              <w:t xml:space="preserve">when the last face to face review took place. </w:t>
            </w:r>
            <w:r w:rsidR="002C11DA">
              <w:rPr>
                <w:rFonts w:ascii="Atkinson Hyperlegible" w:hAnsi="Atkinson Hyperlegible" w:cs="Arial"/>
              </w:rPr>
              <w:t>3 individuals have not had a face</w:t>
            </w:r>
            <w:r w:rsidR="00145AC2">
              <w:rPr>
                <w:rFonts w:ascii="Atkinson Hyperlegible" w:hAnsi="Atkinson Hyperlegible" w:cs="Arial"/>
              </w:rPr>
              <w:t>-</w:t>
            </w:r>
            <w:r w:rsidR="002C11DA">
              <w:rPr>
                <w:rFonts w:ascii="Atkinson Hyperlegible" w:hAnsi="Atkinson Hyperlegible" w:cs="Arial"/>
              </w:rPr>
              <w:t>to</w:t>
            </w:r>
            <w:r w:rsidR="00145AC2">
              <w:rPr>
                <w:rFonts w:ascii="Atkinson Hyperlegible" w:hAnsi="Atkinson Hyperlegible" w:cs="Arial"/>
              </w:rPr>
              <w:t>-</w:t>
            </w:r>
            <w:r w:rsidR="002C11DA">
              <w:rPr>
                <w:rFonts w:ascii="Atkinson Hyperlegible" w:hAnsi="Atkinson Hyperlegible" w:cs="Arial"/>
              </w:rPr>
              <w:t>face review since 2018 (</w:t>
            </w:r>
            <w:r w:rsidR="005E4608" w:rsidRPr="005E4608">
              <w:rPr>
                <w:rFonts w:ascii="Atkinson Hyperlegible" w:hAnsi="Atkinson Hyperlegible" w:cs="Arial"/>
                <w:i/>
                <w:iCs/>
              </w:rPr>
              <w:t>t</w:t>
            </w:r>
            <w:r w:rsidR="002C11DA" w:rsidRPr="005E4608">
              <w:rPr>
                <w:rFonts w:ascii="Atkinson Hyperlegible" w:hAnsi="Atkinson Hyperlegible" w:cs="Arial"/>
                <w:i/>
                <w:iCs/>
              </w:rPr>
              <w:t>hey all had telephone reviews in 2021</w:t>
            </w:r>
            <w:r w:rsidR="002C11DA">
              <w:rPr>
                <w:rFonts w:ascii="Atkinson Hyperlegible" w:hAnsi="Atkinson Hyperlegible" w:cs="Arial"/>
              </w:rPr>
              <w:t>) and a total of 14 individuals</w:t>
            </w:r>
            <w:r w:rsidR="005E4608">
              <w:rPr>
                <w:rFonts w:ascii="Atkinson Hyperlegible" w:hAnsi="Atkinson Hyperlegible" w:cs="Arial"/>
              </w:rPr>
              <w:t xml:space="preserve"> have had</w:t>
            </w:r>
            <w:r w:rsidR="002C11DA">
              <w:rPr>
                <w:rFonts w:ascii="Atkinson Hyperlegible" w:hAnsi="Atkinson Hyperlegible" w:cs="Arial"/>
              </w:rPr>
              <w:t xml:space="preserve"> no review since 2021. This group have been prioritised for a </w:t>
            </w:r>
            <w:r w:rsidR="00C9757E">
              <w:rPr>
                <w:rFonts w:ascii="Atkinson Hyperlegible" w:hAnsi="Atkinson Hyperlegible" w:cs="Arial"/>
              </w:rPr>
              <w:t>face-to-face</w:t>
            </w:r>
            <w:r w:rsidR="002C11DA">
              <w:rPr>
                <w:rFonts w:ascii="Atkinson Hyperlegible" w:hAnsi="Atkinson Hyperlegible" w:cs="Arial"/>
              </w:rPr>
              <w:t xml:space="preserve"> review before the end of March</w:t>
            </w:r>
            <w:r w:rsidR="005E4608">
              <w:rPr>
                <w:rFonts w:ascii="Atkinson Hyperlegible" w:hAnsi="Atkinson Hyperlegible" w:cs="Arial"/>
              </w:rPr>
              <w:t xml:space="preserve"> 2024</w:t>
            </w:r>
            <w:r w:rsidR="002C11DA">
              <w:rPr>
                <w:rFonts w:ascii="Atkinson Hyperlegible" w:hAnsi="Atkinson Hyperlegible" w:cs="Arial"/>
              </w:rPr>
              <w:t xml:space="preserve"> and some mapping is still underway to group these reviews by location</w:t>
            </w:r>
            <w:r w:rsidR="00485B01">
              <w:rPr>
                <w:rFonts w:ascii="Atkinson Hyperlegible" w:hAnsi="Atkinson Hyperlegible" w:cs="Arial"/>
              </w:rPr>
              <w:t xml:space="preserve"> for </w:t>
            </w:r>
            <w:r w:rsidR="00C9757E">
              <w:rPr>
                <w:rFonts w:ascii="Atkinson Hyperlegible" w:hAnsi="Atkinson Hyperlegible" w:cs="Arial"/>
              </w:rPr>
              <w:t>expediency</w:t>
            </w:r>
            <w:r w:rsidR="005E4608">
              <w:rPr>
                <w:rFonts w:ascii="Atkinson Hyperlegible" w:hAnsi="Atkinson Hyperlegible" w:cs="Arial"/>
              </w:rPr>
              <w:t xml:space="preserve"> - </w:t>
            </w:r>
            <w:r w:rsidR="00C9757E">
              <w:rPr>
                <w:rFonts w:ascii="Atkinson Hyperlegible" w:hAnsi="Atkinson Hyperlegible" w:cs="Arial"/>
              </w:rPr>
              <w:t>for</w:t>
            </w:r>
            <w:r w:rsidR="00485B01">
              <w:rPr>
                <w:rFonts w:ascii="Atkinson Hyperlegible" w:hAnsi="Atkinson Hyperlegible" w:cs="Arial"/>
              </w:rPr>
              <w:t xml:space="preserve"> example </w:t>
            </w:r>
            <w:r w:rsidR="005E4608">
              <w:rPr>
                <w:rFonts w:ascii="Atkinson Hyperlegible" w:hAnsi="Atkinson Hyperlegible" w:cs="Arial"/>
              </w:rPr>
              <w:t>t</w:t>
            </w:r>
            <w:r w:rsidR="00485B01">
              <w:rPr>
                <w:rFonts w:ascii="Atkinson Hyperlegible" w:hAnsi="Atkinson Hyperlegible" w:cs="Arial"/>
              </w:rPr>
              <w:t>here were</w:t>
            </w:r>
            <w:r w:rsidR="002C11DA">
              <w:rPr>
                <w:rFonts w:ascii="Atkinson Hyperlegible" w:hAnsi="Atkinson Hyperlegible" w:cs="Arial"/>
              </w:rPr>
              <w:t xml:space="preserve"> 3 reviews undertaken in the last couple of weeks, in Glasgow</w:t>
            </w:r>
            <w:r w:rsidR="00485B01">
              <w:rPr>
                <w:rFonts w:ascii="Atkinson Hyperlegible" w:hAnsi="Atkinson Hyperlegible" w:cs="Arial"/>
              </w:rPr>
              <w:t xml:space="preserve"> by 1 worker.</w:t>
            </w:r>
          </w:p>
        </w:tc>
      </w:tr>
      <w:tr w:rsidR="004753C1" w:rsidRPr="002858FB" w14:paraId="2DE45760" w14:textId="77777777" w:rsidTr="005E4608">
        <w:trPr>
          <w:trHeight w:val="319"/>
          <w:tblCellSpacing w:w="11" w:type="dxa"/>
        </w:trPr>
        <w:tc>
          <w:tcPr>
            <w:tcW w:w="499" w:type="pct"/>
          </w:tcPr>
          <w:p w14:paraId="2E4ED605" w14:textId="77777777" w:rsidR="004753C1" w:rsidRPr="002858FB" w:rsidRDefault="004753C1" w:rsidP="00104F60">
            <w:pPr>
              <w:pStyle w:val="ReportHead2"/>
              <w:keepNext w:val="0"/>
              <w:tabs>
                <w:tab w:val="num" w:pos="714"/>
              </w:tabs>
              <w:rPr>
                <w:rFonts w:ascii="Atkinson Hyperlegible" w:hAnsi="Atkinson Hyperlegible"/>
                <w:color w:val="FF0000"/>
                <w:szCs w:val="24"/>
              </w:rPr>
            </w:pPr>
          </w:p>
        </w:tc>
        <w:tc>
          <w:tcPr>
            <w:tcW w:w="4466" w:type="pct"/>
            <w:gridSpan w:val="2"/>
          </w:tcPr>
          <w:p w14:paraId="21755902" w14:textId="19530B87" w:rsidR="004753C1" w:rsidRDefault="00343F5D" w:rsidP="008B13FB">
            <w:pPr>
              <w:rPr>
                <w:rFonts w:ascii="Atkinson Hyperlegible" w:hAnsi="Atkinson Hyperlegible" w:cs="Arial"/>
              </w:rPr>
            </w:pPr>
            <w:r>
              <w:rPr>
                <w:rFonts w:ascii="Atkinson Hyperlegible" w:hAnsi="Atkinson Hyperlegible" w:cs="Arial"/>
              </w:rPr>
              <w:t xml:space="preserve">The review has </w:t>
            </w:r>
            <w:r w:rsidR="00BB3ACB">
              <w:rPr>
                <w:rFonts w:ascii="Atkinson Hyperlegible" w:hAnsi="Atkinson Hyperlegible" w:cs="Arial"/>
              </w:rPr>
              <w:t xml:space="preserve">also given consideration </w:t>
            </w:r>
            <w:r w:rsidR="000204D8">
              <w:rPr>
                <w:rFonts w:ascii="Atkinson Hyperlegible" w:hAnsi="Atkinson Hyperlegible" w:cs="Arial"/>
              </w:rPr>
              <w:t xml:space="preserve">if it appropriate for anyone in this </w:t>
            </w:r>
            <w:r w:rsidR="00676778">
              <w:rPr>
                <w:rFonts w:ascii="Atkinson Hyperlegible" w:hAnsi="Atkinson Hyperlegible" w:cs="Arial"/>
              </w:rPr>
              <w:t xml:space="preserve">most overdue </w:t>
            </w:r>
            <w:r w:rsidR="000204D8">
              <w:rPr>
                <w:rFonts w:ascii="Atkinson Hyperlegible" w:hAnsi="Atkinson Hyperlegible" w:cs="Arial"/>
              </w:rPr>
              <w:t>cohort to consider a return to Somerset</w:t>
            </w:r>
            <w:r w:rsidR="005E4608">
              <w:rPr>
                <w:rFonts w:ascii="Atkinson Hyperlegible" w:hAnsi="Atkinson Hyperlegible" w:cs="Arial"/>
              </w:rPr>
              <w:t>. F</w:t>
            </w:r>
            <w:r w:rsidR="004753C1">
              <w:rPr>
                <w:rFonts w:ascii="Atkinson Hyperlegible" w:hAnsi="Atkinson Hyperlegible" w:cs="Arial"/>
              </w:rPr>
              <w:t xml:space="preserve">or </w:t>
            </w:r>
            <w:proofErr w:type="gramStart"/>
            <w:r w:rsidR="004753C1">
              <w:rPr>
                <w:rFonts w:ascii="Atkinson Hyperlegible" w:hAnsi="Atkinson Hyperlegible" w:cs="Arial"/>
              </w:rPr>
              <w:t>the majority of</w:t>
            </w:r>
            <w:proofErr w:type="gramEnd"/>
            <w:r w:rsidR="004753C1">
              <w:rPr>
                <w:rFonts w:ascii="Atkinson Hyperlegible" w:hAnsi="Atkinson Hyperlegible" w:cs="Arial"/>
              </w:rPr>
              <w:t xml:space="preserve"> people this is not appropriate as they moved to be closer to family, however</w:t>
            </w:r>
            <w:r w:rsidR="000204D8">
              <w:rPr>
                <w:rFonts w:ascii="Atkinson Hyperlegible" w:hAnsi="Atkinson Hyperlegible" w:cs="Arial"/>
              </w:rPr>
              <w:t xml:space="preserve"> </w:t>
            </w:r>
            <w:r w:rsidR="00473AD1">
              <w:rPr>
                <w:rFonts w:ascii="Atkinson Hyperlegible" w:hAnsi="Atkinson Hyperlegible" w:cs="Arial"/>
              </w:rPr>
              <w:t xml:space="preserve">5 </w:t>
            </w:r>
            <w:r w:rsidR="000204D8">
              <w:rPr>
                <w:rFonts w:ascii="Atkinson Hyperlegible" w:hAnsi="Atkinson Hyperlegible" w:cs="Arial"/>
              </w:rPr>
              <w:t>individuals have been found to be in placements away from families locally in Somerset</w:t>
            </w:r>
            <w:r w:rsidR="00473AD1">
              <w:rPr>
                <w:rFonts w:ascii="Atkinson Hyperlegible" w:hAnsi="Atkinson Hyperlegible" w:cs="Arial"/>
              </w:rPr>
              <w:t xml:space="preserve">. Of these 3 are currently in prison and </w:t>
            </w:r>
            <w:r w:rsidR="008E5923">
              <w:rPr>
                <w:rFonts w:ascii="Atkinson Hyperlegible" w:hAnsi="Atkinson Hyperlegible" w:cs="Arial"/>
              </w:rPr>
              <w:t>2 could potentially return to Somerset to be nearer their families and communities.</w:t>
            </w:r>
          </w:p>
        </w:tc>
      </w:tr>
      <w:tr w:rsidR="00104F60" w:rsidRPr="002858FB" w14:paraId="505F415E" w14:textId="77777777" w:rsidTr="005E4608">
        <w:trPr>
          <w:trHeight w:val="319"/>
          <w:tblCellSpacing w:w="11" w:type="dxa"/>
        </w:trPr>
        <w:tc>
          <w:tcPr>
            <w:tcW w:w="499" w:type="pct"/>
          </w:tcPr>
          <w:p w14:paraId="7D31F0FF" w14:textId="3F1AC0B8" w:rsidR="00104F60" w:rsidRPr="002858FB" w:rsidRDefault="00104F60" w:rsidP="00104F60">
            <w:pPr>
              <w:pStyle w:val="ReportHead2"/>
              <w:keepNext w:val="0"/>
              <w:tabs>
                <w:tab w:val="num" w:pos="714"/>
              </w:tabs>
              <w:rPr>
                <w:rFonts w:ascii="Atkinson Hyperlegible" w:hAnsi="Atkinson Hyperlegible"/>
                <w:color w:val="FF0000"/>
                <w:szCs w:val="24"/>
              </w:rPr>
            </w:pPr>
          </w:p>
        </w:tc>
        <w:tc>
          <w:tcPr>
            <w:tcW w:w="4466" w:type="pct"/>
            <w:gridSpan w:val="2"/>
          </w:tcPr>
          <w:p w14:paraId="7F8250E6" w14:textId="15977A52" w:rsidR="00104F60" w:rsidRDefault="00104F60" w:rsidP="00104F60">
            <w:pPr>
              <w:rPr>
                <w:rFonts w:ascii="Atkinson Hyperlegible" w:hAnsi="Atkinson Hyperlegible" w:cs="Arial"/>
                <w:b/>
                <w:bCs/>
              </w:rPr>
            </w:pPr>
            <w:r>
              <w:rPr>
                <w:rFonts w:ascii="Atkinson Hyperlegible" w:hAnsi="Atkinson Hyperlegible" w:cs="Arial"/>
                <w:b/>
                <w:bCs/>
              </w:rPr>
              <w:t xml:space="preserve">Further </w:t>
            </w:r>
            <w:r w:rsidRPr="00DF4B4F">
              <w:rPr>
                <w:rFonts w:ascii="Atkinson Hyperlegible" w:hAnsi="Atkinson Hyperlegible" w:cs="Arial"/>
                <w:b/>
                <w:bCs/>
              </w:rPr>
              <w:t xml:space="preserve">Risk Mitigations </w:t>
            </w:r>
            <w:r>
              <w:rPr>
                <w:rFonts w:ascii="Atkinson Hyperlegible" w:hAnsi="Atkinson Hyperlegible" w:cs="Arial"/>
                <w:b/>
                <w:bCs/>
              </w:rPr>
              <w:t xml:space="preserve">being </w:t>
            </w:r>
            <w:r w:rsidR="00C9757E">
              <w:rPr>
                <w:rFonts w:ascii="Atkinson Hyperlegible" w:hAnsi="Atkinson Hyperlegible" w:cs="Arial"/>
                <w:b/>
                <w:bCs/>
              </w:rPr>
              <w:t>undertaken.</w:t>
            </w:r>
          </w:p>
          <w:p w14:paraId="7FF7615E" w14:textId="1F79A16A" w:rsidR="00477B4D" w:rsidRPr="00DF4B4F" w:rsidRDefault="00477B4D" w:rsidP="00104F60">
            <w:pPr>
              <w:rPr>
                <w:rFonts w:ascii="Atkinson Hyperlegible" w:hAnsi="Atkinson Hyperlegible" w:cs="Arial"/>
                <w:b/>
                <w:bCs/>
              </w:rPr>
            </w:pPr>
            <w:r>
              <w:rPr>
                <w:rFonts w:ascii="Atkinson Hyperlegible" w:hAnsi="Atkinson Hyperlegible" w:cs="Arial"/>
              </w:rPr>
              <w:t>The next data days are due to be held in February</w:t>
            </w:r>
            <w:r w:rsidR="005E4608">
              <w:rPr>
                <w:rFonts w:ascii="Atkinson Hyperlegible" w:hAnsi="Atkinson Hyperlegible" w:cs="Arial"/>
              </w:rPr>
              <w:t xml:space="preserve"> 2024;</w:t>
            </w:r>
            <w:r>
              <w:rPr>
                <w:rFonts w:ascii="Atkinson Hyperlegible" w:hAnsi="Atkinson Hyperlegible" w:cs="Arial"/>
              </w:rPr>
              <w:t xml:space="preserve"> this is part of the regular pattern of team events led by service managers which reviews risk in waiting lists in each team, using the risk assessment tool that was developed last year.</w:t>
            </w:r>
          </w:p>
        </w:tc>
      </w:tr>
      <w:tr w:rsidR="00CA7F25" w:rsidRPr="002858FB" w14:paraId="52BE5954" w14:textId="77777777" w:rsidTr="005E4608">
        <w:trPr>
          <w:trHeight w:val="319"/>
          <w:tblCellSpacing w:w="11" w:type="dxa"/>
        </w:trPr>
        <w:tc>
          <w:tcPr>
            <w:tcW w:w="499" w:type="pct"/>
          </w:tcPr>
          <w:p w14:paraId="238AD2C5" w14:textId="77777777" w:rsidR="00CA7F25" w:rsidRPr="002858FB" w:rsidRDefault="00CA7F25" w:rsidP="00104F60">
            <w:pPr>
              <w:pStyle w:val="ReportHead2"/>
              <w:keepNext w:val="0"/>
              <w:tabs>
                <w:tab w:val="num" w:pos="714"/>
              </w:tabs>
              <w:rPr>
                <w:rFonts w:ascii="Atkinson Hyperlegible" w:hAnsi="Atkinson Hyperlegible"/>
                <w:color w:val="FF0000"/>
                <w:szCs w:val="24"/>
              </w:rPr>
            </w:pPr>
          </w:p>
        </w:tc>
        <w:tc>
          <w:tcPr>
            <w:tcW w:w="4466" w:type="pct"/>
            <w:gridSpan w:val="2"/>
          </w:tcPr>
          <w:p w14:paraId="1FC48F68" w14:textId="22630ED8" w:rsidR="00CA7F25" w:rsidRDefault="00CA7F25" w:rsidP="00104F60">
            <w:pPr>
              <w:rPr>
                <w:rFonts w:ascii="Atkinson Hyperlegible" w:hAnsi="Atkinson Hyperlegible" w:cs="Arial"/>
              </w:rPr>
            </w:pPr>
            <w:r>
              <w:rPr>
                <w:rFonts w:ascii="Atkinson Hyperlegible" w:hAnsi="Atkinson Hyperlegible" w:cs="Arial"/>
              </w:rPr>
              <w:t xml:space="preserve">As part of the </w:t>
            </w:r>
            <w:r w:rsidR="007978BE">
              <w:rPr>
                <w:rFonts w:ascii="Atkinson Hyperlegible" w:hAnsi="Atkinson Hyperlegible" w:cs="Arial"/>
              </w:rPr>
              <w:t>preparation for the</w:t>
            </w:r>
            <w:r w:rsidR="005E4608">
              <w:rPr>
                <w:rFonts w:ascii="Atkinson Hyperlegible" w:hAnsi="Atkinson Hyperlegible" w:cs="Arial"/>
              </w:rPr>
              <w:t xml:space="preserve"> Council’s</w:t>
            </w:r>
            <w:r w:rsidR="007978BE">
              <w:rPr>
                <w:rFonts w:ascii="Atkinson Hyperlegible" w:hAnsi="Atkinson Hyperlegible" w:cs="Arial"/>
              </w:rPr>
              <w:t xml:space="preserve"> LGA </w:t>
            </w:r>
            <w:r w:rsidR="005E4608">
              <w:rPr>
                <w:rFonts w:ascii="Atkinson Hyperlegible" w:hAnsi="Atkinson Hyperlegible" w:cs="Arial"/>
              </w:rPr>
              <w:t xml:space="preserve">Assurance </w:t>
            </w:r>
            <w:r w:rsidR="007978BE">
              <w:rPr>
                <w:rFonts w:ascii="Atkinson Hyperlegible" w:hAnsi="Atkinson Hyperlegible" w:cs="Arial"/>
              </w:rPr>
              <w:t xml:space="preserve">peer </w:t>
            </w:r>
            <w:r w:rsidR="005E4608">
              <w:rPr>
                <w:rFonts w:ascii="Atkinson Hyperlegible" w:hAnsi="Atkinson Hyperlegible" w:cs="Arial"/>
              </w:rPr>
              <w:t>challenge</w:t>
            </w:r>
            <w:r w:rsidR="007978BE">
              <w:rPr>
                <w:rFonts w:ascii="Atkinson Hyperlegible" w:hAnsi="Atkinson Hyperlegible" w:cs="Arial"/>
              </w:rPr>
              <w:t xml:space="preserve"> to be held in </w:t>
            </w:r>
            <w:r w:rsidR="005E4608">
              <w:rPr>
                <w:rFonts w:ascii="Atkinson Hyperlegible" w:hAnsi="Atkinson Hyperlegible" w:cs="Arial"/>
              </w:rPr>
              <w:t xml:space="preserve">early </w:t>
            </w:r>
            <w:r w:rsidR="007978BE">
              <w:rPr>
                <w:rFonts w:ascii="Atkinson Hyperlegible" w:hAnsi="Atkinson Hyperlegible" w:cs="Arial"/>
              </w:rPr>
              <w:t>March 2024</w:t>
            </w:r>
            <w:r w:rsidR="00954C00">
              <w:rPr>
                <w:rFonts w:ascii="Atkinson Hyperlegible" w:hAnsi="Atkinson Hyperlegible" w:cs="Arial"/>
              </w:rPr>
              <w:t xml:space="preserve">, </w:t>
            </w:r>
            <w:r w:rsidR="00E7174A">
              <w:rPr>
                <w:rFonts w:ascii="Atkinson Hyperlegible" w:hAnsi="Atkinson Hyperlegible" w:cs="Arial"/>
              </w:rPr>
              <w:t>our</w:t>
            </w:r>
            <w:r w:rsidR="00954C00">
              <w:rPr>
                <w:rFonts w:ascii="Atkinson Hyperlegible" w:hAnsi="Atkinson Hyperlegible" w:cs="Arial"/>
              </w:rPr>
              <w:t xml:space="preserve"> neighbourhood teams have been undertaking addi</w:t>
            </w:r>
            <w:r w:rsidR="007508E1">
              <w:rPr>
                <w:rFonts w:ascii="Atkinson Hyperlegible" w:hAnsi="Atkinson Hyperlegible" w:cs="Arial"/>
              </w:rPr>
              <w:t xml:space="preserve">tional </w:t>
            </w:r>
            <w:r w:rsidR="00002A75">
              <w:rPr>
                <w:rFonts w:ascii="Atkinson Hyperlegible" w:hAnsi="Atkinson Hyperlegible" w:cs="Arial"/>
              </w:rPr>
              <w:t>data validation exercises across staff caseloads</w:t>
            </w:r>
            <w:r w:rsidR="00F02A03">
              <w:rPr>
                <w:rFonts w:ascii="Atkinson Hyperlegible" w:hAnsi="Atkinson Hyperlegible" w:cs="Arial"/>
              </w:rPr>
              <w:t>, with individual staff members</w:t>
            </w:r>
            <w:r w:rsidR="002C48F1">
              <w:rPr>
                <w:rFonts w:ascii="Atkinson Hyperlegible" w:hAnsi="Atkinson Hyperlegible" w:cs="Arial"/>
              </w:rPr>
              <w:t xml:space="preserve"> meeting with their line </w:t>
            </w:r>
            <w:r w:rsidR="00601C4F">
              <w:rPr>
                <w:rFonts w:ascii="Atkinson Hyperlegible" w:hAnsi="Atkinson Hyperlegible" w:cs="Arial"/>
              </w:rPr>
              <w:t>managers to</w:t>
            </w:r>
            <w:r w:rsidR="002C48F1">
              <w:rPr>
                <w:rFonts w:ascii="Atkinson Hyperlegible" w:hAnsi="Atkinson Hyperlegible" w:cs="Arial"/>
              </w:rPr>
              <w:t xml:space="preserve"> review their caseloads</w:t>
            </w:r>
            <w:r w:rsidR="005E4608">
              <w:rPr>
                <w:rFonts w:ascii="Atkinson Hyperlegible" w:hAnsi="Atkinson Hyperlegible" w:cs="Arial"/>
              </w:rPr>
              <w:t>;</w:t>
            </w:r>
            <w:r w:rsidR="002C48F1">
              <w:rPr>
                <w:rFonts w:ascii="Atkinson Hyperlegible" w:hAnsi="Atkinson Hyperlegible" w:cs="Arial"/>
              </w:rPr>
              <w:t xml:space="preserve"> this is in addition to </w:t>
            </w:r>
            <w:r w:rsidR="00477B4D">
              <w:rPr>
                <w:rFonts w:ascii="Atkinson Hyperlegible" w:hAnsi="Atkinson Hyperlegible" w:cs="Arial"/>
              </w:rPr>
              <w:t>planned supervision</w:t>
            </w:r>
            <w:r w:rsidR="00601C4F">
              <w:rPr>
                <w:rFonts w:ascii="Atkinson Hyperlegible" w:hAnsi="Atkinson Hyperlegible" w:cs="Arial"/>
              </w:rPr>
              <w:t xml:space="preserve"> where caseload is a standing item.</w:t>
            </w:r>
          </w:p>
        </w:tc>
      </w:tr>
      <w:tr w:rsidR="00104F60" w:rsidRPr="002858FB" w14:paraId="72385580" w14:textId="77777777" w:rsidTr="005E4608">
        <w:trPr>
          <w:trHeight w:val="319"/>
          <w:tblCellSpacing w:w="11" w:type="dxa"/>
        </w:trPr>
        <w:tc>
          <w:tcPr>
            <w:tcW w:w="499" w:type="pct"/>
          </w:tcPr>
          <w:p w14:paraId="221400B6" w14:textId="77777777" w:rsidR="00104F60" w:rsidRPr="002858FB" w:rsidRDefault="00104F60" w:rsidP="00104F60">
            <w:pPr>
              <w:pStyle w:val="ReportHead2"/>
              <w:keepNext w:val="0"/>
              <w:tabs>
                <w:tab w:val="num" w:pos="714"/>
              </w:tabs>
              <w:rPr>
                <w:rFonts w:ascii="Atkinson Hyperlegible" w:hAnsi="Atkinson Hyperlegible"/>
                <w:color w:val="FF0000"/>
                <w:szCs w:val="24"/>
              </w:rPr>
            </w:pPr>
          </w:p>
        </w:tc>
        <w:tc>
          <w:tcPr>
            <w:tcW w:w="4466" w:type="pct"/>
            <w:gridSpan w:val="2"/>
          </w:tcPr>
          <w:p w14:paraId="746C1A42" w14:textId="5F88556A" w:rsidR="005E4608" w:rsidRPr="005E4608" w:rsidRDefault="00104F60" w:rsidP="00104F60">
            <w:pPr>
              <w:rPr>
                <w:rFonts w:ascii="Atkinson Hyperlegible" w:hAnsi="Atkinson Hyperlegible" w:cs="Arial"/>
              </w:rPr>
            </w:pPr>
            <w:r>
              <w:rPr>
                <w:rFonts w:ascii="Atkinson Hyperlegible" w:hAnsi="Atkinson Hyperlegible" w:cs="Arial"/>
              </w:rPr>
              <w:t xml:space="preserve">A quarter of </w:t>
            </w:r>
            <w:r w:rsidR="00601C4F">
              <w:rPr>
                <w:rFonts w:ascii="Atkinson Hyperlegible" w:hAnsi="Atkinson Hyperlegible" w:cs="Arial"/>
              </w:rPr>
              <w:t>o</w:t>
            </w:r>
            <w:r>
              <w:rPr>
                <w:rFonts w:ascii="Atkinson Hyperlegible" w:hAnsi="Atkinson Hyperlegible" w:cs="Arial"/>
              </w:rPr>
              <w:t xml:space="preserve">verdue assessments are already allocated to </w:t>
            </w:r>
            <w:r w:rsidR="005E4608">
              <w:rPr>
                <w:rFonts w:ascii="Atkinson Hyperlegible" w:hAnsi="Atkinson Hyperlegible" w:cs="Arial"/>
              </w:rPr>
              <w:t xml:space="preserve">a </w:t>
            </w:r>
            <w:r>
              <w:rPr>
                <w:rFonts w:ascii="Atkinson Hyperlegible" w:hAnsi="Atkinson Hyperlegible" w:cs="Arial"/>
              </w:rPr>
              <w:t xml:space="preserve">worker indicating work is in progress but not yet complete. This can be a significant mitigation factor for levels of unknown risk in overdue work but does have a negative impact on </w:t>
            </w:r>
            <w:r w:rsidR="005E4608">
              <w:rPr>
                <w:rFonts w:ascii="Atkinson Hyperlegible" w:hAnsi="Atkinson Hyperlegible" w:cs="Arial"/>
              </w:rPr>
              <w:t>throughput and</w:t>
            </w:r>
            <w:r>
              <w:rPr>
                <w:rFonts w:ascii="Atkinson Hyperlegible" w:hAnsi="Atkinson Hyperlegible" w:cs="Arial"/>
              </w:rPr>
              <w:t xml:space="preserve"> completion of work. Productivity of individual workers has been identified as a priority area for focus during the next quarter for managers, progress in this area will be reported in the next quarterly report</w:t>
            </w:r>
            <w:r w:rsidR="005E4608">
              <w:rPr>
                <w:rFonts w:ascii="Atkinson Hyperlegible" w:hAnsi="Atkinson Hyperlegible" w:cs="Arial"/>
              </w:rPr>
              <w:t xml:space="preserve"> to the Board.</w:t>
            </w:r>
          </w:p>
        </w:tc>
      </w:tr>
      <w:tr w:rsidR="00104F60" w:rsidRPr="002858FB" w14:paraId="4639954A" w14:textId="77777777" w:rsidTr="005E4608">
        <w:trPr>
          <w:trHeight w:val="319"/>
          <w:tblCellSpacing w:w="11" w:type="dxa"/>
        </w:trPr>
        <w:tc>
          <w:tcPr>
            <w:tcW w:w="499" w:type="pct"/>
          </w:tcPr>
          <w:p w14:paraId="73B5AE8B" w14:textId="77777777" w:rsidR="00104F60" w:rsidRPr="002858FB" w:rsidRDefault="00104F60" w:rsidP="00104F60">
            <w:pPr>
              <w:pStyle w:val="ReportHead2"/>
              <w:keepNext w:val="0"/>
              <w:tabs>
                <w:tab w:val="num" w:pos="714"/>
              </w:tabs>
              <w:rPr>
                <w:rFonts w:ascii="Atkinson Hyperlegible" w:hAnsi="Atkinson Hyperlegible"/>
                <w:color w:val="FF0000"/>
                <w:szCs w:val="24"/>
              </w:rPr>
            </w:pPr>
          </w:p>
        </w:tc>
        <w:tc>
          <w:tcPr>
            <w:tcW w:w="4466" w:type="pct"/>
            <w:gridSpan w:val="2"/>
          </w:tcPr>
          <w:p w14:paraId="1BF5F80C" w14:textId="2A2102D0" w:rsidR="00104F60" w:rsidRDefault="00104F60" w:rsidP="00104F60">
            <w:pPr>
              <w:tabs>
                <w:tab w:val="num" w:pos="714"/>
              </w:tabs>
              <w:rPr>
                <w:rFonts w:ascii="Atkinson Hyperlegible" w:hAnsi="Atkinson Hyperlegible" w:cs="Arial"/>
              </w:rPr>
            </w:pPr>
            <w:r w:rsidRPr="00525E76">
              <w:rPr>
                <w:rFonts w:cs="Arial"/>
                <w:b/>
                <w:bCs/>
                <w:sz w:val="20"/>
                <w:szCs w:val="20"/>
                <w:u w:val="single"/>
              </w:rPr>
              <w:t>Table 3: Overdue assessments already allocated across all teams</w:t>
            </w:r>
          </w:p>
        </w:tc>
      </w:tr>
      <w:tr w:rsidR="00104F60" w:rsidRPr="002858FB" w14:paraId="41042C35" w14:textId="77777777" w:rsidTr="005E4608">
        <w:trPr>
          <w:trHeight w:val="319"/>
          <w:tblCellSpacing w:w="11" w:type="dxa"/>
        </w:trPr>
        <w:tc>
          <w:tcPr>
            <w:tcW w:w="499" w:type="pct"/>
          </w:tcPr>
          <w:p w14:paraId="0123BB1D" w14:textId="77777777" w:rsidR="00104F60" w:rsidRPr="002858FB" w:rsidRDefault="00104F60" w:rsidP="00104F60">
            <w:pPr>
              <w:pStyle w:val="ReportHead2"/>
              <w:keepNext w:val="0"/>
              <w:numPr>
                <w:ilvl w:val="0"/>
                <w:numId w:val="0"/>
              </w:numPr>
              <w:ind w:left="357"/>
              <w:rPr>
                <w:rFonts w:ascii="Atkinson Hyperlegible" w:hAnsi="Atkinson Hyperlegible"/>
                <w:color w:val="FF0000"/>
                <w:szCs w:val="24"/>
              </w:rPr>
            </w:pPr>
          </w:p>
        </w:tc>
        <w:tc>
          <w:tcPr>
            <w:tcW w:w="4466" w:type="pct"/>
            <w:gridSpan w:val="2"/>
          </w:tcPr>
          <w:p w14:paraId="52CDECD9" w14:textId="456E0FC7" w:rsidR="00104F60" w:rsidRPr="002858FB" w:rsidRDefault="00104F60" w:rsidP="00104F60">
            <w:pPr>
              <w:tabs>
                <w:tab w:val="num" w:pos="714"/>
              </w:tabs>
              <w:rPr>
                <w:rFonts w:cs="Arial"/>
                <w:color w:val="FF0000"/>
              </w:rPr>
            </w:pPr>
            <w:r w:rsidRPr="00525E76">
              <w:rPr>
                <w:rStyle w:val="Hyperlink"/>
                <w:rFonts w:ascii="Segoe UI" w:hAnsi="Segoe UI" w:cs="Segoe UI"/>
                <w:noProof/>
                <w:color w:val="auto"/>
                <w:sz w:val="18"/>
                <w:szCs w:val="18"/>
              </w:rPr>
              <w:drawing>
                <wp:inline distT="0" distB="0" distL="0" distR="0" wp14:anchorId="2A602773" wp14:editId="58D287C6">
                  <wp:extent cx="2468880" cy="1909887"/>
                  <wp:effectExtent l="0" t="0" r="7620" b="0"/>
                  <wp:docPr id="310370064" name="Picture 1" descr="Overdue Assessments by Assessor Assign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verdue Assessments by Assessor Assign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2181" cy="1927912"/>
                          </a:xfrm>
                          <a:prstGeom prst="rect">
                            <a:avLst/>
                          </a:prstGeom>
                          <a:noFill/>
                          <a:ln>
                            <a:noFill/>
                          </a:ln>
                        </pic:spPr>
                      </pic:pic>
                    </a:graphicData>
                  </a:graphic>
                </wp:inline>
              </w:drawing>
            </w:r>
          </w:p>
        </w:tc>
      </w:tr>
      <w:tr w:rsidR="00104F60" w:rsidRPr="002858FB" w14:paraId="5BF520D7" w14:textId="77777777" w:rsidTr="001C46AC">
        <w:trPr>
          <w:trHeight w:val="319"/>
          <w:tblCellSpacing w:w="11" w:type="dxa"/>
        </w:trPr>
        <w:tc>
          <w:tcPr>
            <w:tcW w:w="499" w:type="pct"/>
            <w:tcBorders>
              <w:left w:val="single" w:sz="4" w:space="0" w:color="auto"/>
            </w:tcBorders>
          </w:tcPr>
          <w:p w14:paraId="650DC344" w14:textId="77777777" w:rsidR="00104F60" w:rsidRPr="002858FB" w:rsidRDefault="00104F60" w:rsidP="00104F60">
            <w:pPr>
              <w:pStyle w:val="ReportHead2"/>
              <w:keepNext w:val="0"/>
              <w:tabs>
                <w:tab w:val="num" w:pos="714"/>
              </w:tabs>
              <w:rPr>
                <w:rFonts w:ascii="Atkinson Hyperlegible" w:hAnsi="Atkinson Hyperlegible"/>
                <w:color w:val="FF0000"/>
                <w:szCs w:val="24"/>
              </w:rPr>
            </w:pPr>
          </w:p>
        </w:tc>
        <w:tc>
          <w:tcPr>
            <w:tcW w:w="4466" w:type="pct"/>
            <w:gridSpan w:val="2"/>
            <w:tcBorders>
              <w:right w:val="single" w:sz="4" w:space="0" w:color="auto"/>
            </w:tcBorders>
          </w:tcPr>
          <w:p w14:paraId="5C08E2E4" w14:textId="022DBF01" w:rsidR="00104F60" w:rsidRPr="002865BE" w:rsidRDefault="00AD7C02" w:rsidP="00AD7C02">
            <w:pPr>
              <w:tabs>
                <w:tab w:val="num" w:pos="714"/>
              </w:tabs>
              <w:rPr>
                <w:rFonts w:ascii="Atkinson Hyperlegible" w:hAnsi="Atkinson Hyperlegible" w:cs="Arial"/>
              </w:rPr>
            </w:pPr>
            <w:r>
              <w:rPr>
                <w:rFonts w:ascii="Atkinson Hyperlegible" w:hAnsi="Atkinson Hyperlegible" w:cs="Arial"/>
              </w:rPr>
              <w:t>As outlined above</w:t>
            </w:r>
            <w:r w:rsidR="005E4608">
              <w:rPr>
                <w:rFonts w:ascii="Atkinson Hyperlegible" w:hAnsi="Atkinson Hyperlegible" w:cs="Arial"/>
              </w:rPr>
              <w:t>,</w:t>
            </w:r>
            <w:r>
              <w:rPr>
                <w:rFonts w:ascii="Atkinson Hyperlegible" w:hAnsi="Atkinson Hyperlegible" w:cs="Arial"/>
              </w:rPr>
              <w:t xml:space="preserve"> data validations have thrown up </w:t>
            </w:r>
            <w:proofErr w:type="gramStart"/>
            <w:r>
              <w:rPr>
                <w:rFonts w:ascii="Atkinson Hyperlegible" w:hAnsi="Atkinson Hyperlegible" w:cs="Arial"/>
              </w:rPr>
              <w:t>a number of</w:t>
            </w:r>
            <w:proofErr w:type="gramEnd"/>
            <w:r>
              <w:rPr>
                <w:rFonts w:ascii="Atkinson Hyperlegible" w:hAnsi="Atkinson Hyperlegible" w:cs="Arial"/>
              </w:rPr>
              <w:t xml:space="preserve"> anomalies in reporting that need further investigation</w:t>
            </w:r>
            <w:r w:rsidR="00BE3460">
              <w:rPr>
                <w:rFonts w:ascii="Atkinson Hyperlegible" w:hAnsi="Atkinson Hyperlegible" w:cs="Arial"/>
              </w:rPr>
              <w:t>, and this is currently impacting on accurate data reporting.</w:t>
            </w:r>
            <w:r>
              <w:rPr>
                <w:rFonts w:ascii="Atkinson Hyperlegible" w:hAnsi="Atkinson Hyperlegible" w:cs="Arial"/>
              </w:rPr>
              <w:t xml:space="preserve"> </w:t>
            </w:r>
            <w:r w:rsidR="002865BE">
              <w:rPr>
                <w:rFonts w:ascii="Atkinson Hyperlegible" w:hAnsi="Atkinson Hyperlegible" w:cs="Arial"/>
              </w:rPr>
              <w:t>This will hopefully be resolved for the next quarterly report.</w:t>
            </w:r>
          </w:p>
        </w:tc>
      </w:tr>
      <w:tr w:rsidR="00104F60" w:rsidRPr="002858FB" w14:paraId="2AEB2E16" w14:textId="77777777" w:rsidTr="001C46AC">
        <w:trPr>
          <w:trHeight w:val="319"/>
          <w:tblCellSpacing w:w="11" w:type="dxa"/>
        </w:trPr>
        <w:tc>
          <w:tcPr>
            <w:tcW w:w="499" w:type="pct"/>
            <w:tcBorders>
              <w:left w:val="single" w:sz="4" w:space="0" w:color="auto"/>
            </w:tcBorders>
          </w:tcPr>
          <w:p w14:paraId="4113DBE7" w14:textId="77777777" w:rsidR="00104F60" w:rsidRPr="002858FB" w:rsidRDefault="00104F60" w:rsidP="00104F60">
            <w:pPr>
              <w:pStyle w:val="ReportHead2"/>
              <w:keepNext w:val="0"/>
              <w:tabs>
                <w:tab w:val="num" w:pos="714"/>
              </w:tabs>
              <w:rPr>
                <w:rFonts w:ascii="Atkinson Hyperlegible" w:hAnsi="Atkinson Hyperlegible"/>
                <w:color w:val="FF0000"/>
                <w:szCs w:val="24"/>
              </w:rPr>
            </w:pPr>
          </w:p>
        </w:tc>
        <w:tc>
          <w:tcPr>
            <w:tcW w:w="4466" w:type="pct"/>
            <w:gridSpan w:val="2"/>
            <w:tcBorders>
              <w:right w:val="single" w:sz="4" w:space="0" w:color="auto"/>
            </w:tcBorders>
          </w:tcPr>
          <w:p w14:paraId="31E7F693" w14:textId="1504CAA8" w:rsidR="00104F60" w:rsidRPr="002865BE" w:rsidRDefault="00AD7C02" w:rsidP="00104F60">
            <w:pPr>
              <w:tabs>
                <w:tab w:val="num" w:pos="714"/>
              </w:tabs>
              <w:rPr>
                <w:rFonts w:ascii="Atkinson Hyperlegible" w:hAnsi="Atkinson Hyperlegible" w:cs="Arial"/>
              </w:rPr>
            </w:pPr>
            <w:r>
              <w:rPr>
                <w:rFonts w:ascii="Atkinson Hyperlegible" w:hAnsi="Atkinson Hyperlegible" w:cs="Arial"/>
              </w:rPr>
              <w:t xml:space="preserve">The </w:t>
            </w:r>
            <w:r w:rsidR="00DA4BFF">
              <w:rPr>
                <w:rFonts w:ascii="Atkinson Hyperlegible" w:hAnsi="Atkinson Hyperlegible" w:cs="Arial"/>
              </w:rPr>
              <w:t xml:space="preserve">monthly </w:t>
            </w:r>
            <w:r>
              <w:rPr>
                <w:rFonts w:ascii="Atkinson Hyperlegible" w:hAnsi="Atkinson Hyperlegible" w:cs="Arial"/>
              </w:rPr>
              <w:t>Practice Quality Framework audit programme is continuing with all practitioners expected to undertake audits</w:t>
            </w:r>
            <w:r w:rsidR="00DA4BFF">
              <w:rPr>
                <w:rFonts w:ascii="Atkinson Hyperlegible" w:hAnsi="Atkinson Hyperlegible" w:cs="Arial"/>
              </w:rPr>
              <w:t>;</w:t>
            </w:r>
            <w:r>
              <w:rPr>
                <w:rFonts w:ascii="Atkinson Hyperlegible" w:hAnsi="Atkinson Hyperlegible" w:cs="Arial"/>
              </w:rPr>
              <w:t xml:space="preserve"> outcomes are presented to the </w:t>
            </w:r>
            <w:r w:rsidR="005E4608">
              <w:rPr>
                <w:rFonts w:ascii="Atkinson Hyperlegible" w:hAnsi="Atkinson Hyperlegible" w:cs="Arial"/>
              </w:rPr>
              <w:t xml:space="preserve">Adult Social Care </w:t>
            </w:r>
            <w:r>
              <w:rPr>
                <w:rFonts w:ascii="Atkinson Hyperlegible" w:hAnsi="Atkinson Hyperlegible" w:cs="Arial"/>
              </w:rPr>
              <w:t>Practice Quality Board to monitor</w:t>
            </w:r>
            <w:r w:rsidR="008F66B8">
              <w:rPr>
                <w:rFonts w:ascii="Atkinson Hyperlegible" w:hAnsi="Atkinson Hyperlegible" w:cs="Arial"/>
              </w:rPr>
              <w:t xml:space="preserve"> </w:t>
            </w:r>
            <w:r>
              <w:rPr>
                <w:rFonts w:ascii="Atkinson Hyperlegible" w:hAnsi="Atkinson Hyperlegible" w:cs="Arial"/>
              </w:rPr>
              <w:t>learning and actions</w:t>
            </w:r>
            <w:r w:rsidR="005E4608">
              <w:rPr>
                <w:rFonts w:ascii="Atkinson Hyperlegible" w:hAnsi="Atkinson Hyperlegible" w:cs="Arial"/>
              </w:rPr>
              <w:t xml:space="preserve">. </w:t>
            </w:r>
            <w:r>
              <w:rPr>
                <w:rFonts w:ascii="Atkinson Hyperlegible" w:hAnsi="Atkinson Hyperlegible" w:cs="Arial"/>
              </w:rPr>
              <w:t xml:space="preserve">The </w:t>
            </w:r>
            <w:r w:rsidR="00DA4BFF">
              <w:rPr>
                <w:rFonts w:ascii="Atkinson Hyperlegible" w:hAnsi="Atkinson Hyperlegible" w:cs="Arial"/>
              </w:rPr>
              <w:t>P</w:t>
            </w:r>
            <w:r>
              <w:rPr>
                <w:rFonts w:ascii="Atkinson Hyperlegible" w:hAnsi="Atkinson Hyperlegible" w:cs="Arial"/>
              </w:rPr>
              <w:t xml:space="preserve">ractice </w:t>
            </w:r>
            <w:r w:rsidR="00DA4BFF">
              <w:rPr>
                <w:rFonts w:ascii="Atkinson Hyperlegible" w:hAnsi="Atkinson Hyperlegible" w:cs="Arial"/>
              </w:rPr>
              <w:t>Q</w:t>
            </w:r>
            <w:r>
              <w:rPr>
                <w:rFonts w:ascii="Atkinson Hyperlegible" w:hAnsi="Atkinson Hyperlegible" w:cs="Arial"/>
              </w:rPr>
              <w:t xml:space="preserve">uality </w:t>
            </w:r>
            <w:r w:rsidR="00DA4BFF">
              <w:rPr>
                <w:rFonts w:ascii="Atkinson Hyperlegible" w:hAnsi="Atkinson Hyperlegible" w:cs="Arial"/>
              </w:rPr>
              <w:t>B</w:t>
            </w:r>
            <w:r>
              <w:rPr>
                <w:rFonts w:ascii="Atkinson Hyperlegible" w:hAnsi="Atkinson Hyperlegible" w:cs="Arial"/>
              </w:rPr>
              <w:t xml:space="preserve">oard also disseminates learning from </w:t>
            </w:r>
            <w:r w:rsidR="00DA4BFF">
              <w:rPr>
                <w:rFonts w:ascii="Atkinson Hyperlegible" w:hAnsi="Atkinson Hyperlegible" w:cs="Arial"/>
              </w:rPr>
              <w:t xml:space="preserve">feedback and </w:t>
            </w:r>
            <w:r>
              <w:rPr>
                <w:rFonts w:ascii="Atkinson Hyperlegible" w:hAnsi="Atkinson Hyperlegible" w:cs="Arial"/>
              </w:rPr>
              <w:t xml:space="preserve">complaints which has included learning where people have had a crisis or deteriorated whilst waiting for assessments or reviews </w:t>
            </w:r>
            <w:r w:rsidR="00DA4BFF">
              <w:rPr>
                <w:rFonts w:ascii="Atkinson Hyperlegible" w:hAnsi="Atkinson Hyperlegible" w:cs="Arial"/>
              </w:rPr>
              <w:t xml:space="preserve">- </w:t>
            </w:r>
            <w:r w:rsidR="008F66B8">
              <w:rPr>
                <w:rFonts w:ascii="Atkinson Hyperlegible" w:hAnsi="Atkinson Hyperlegible" w:cs="Arial"/>
              </w:rPr>
              <w:t>these are a regular feature of team meetings in neighbourhood teams</w:t>
            </w:r>
            <w:r w:rsidR="00102F78">
              <w:rPr>
                <w:rFonts w:ascii="Atkinson Hyperlegible" w:hAnsi="Atkinson Hyperlegible" w:cs="Arial"/>
              </w:rPr>
              <w:t>.</w:t>
            </w:r>
          </w:p>
        </w:tc>
      </w:tr>
      <w:tr w:rsidR="00102F78" w:rsidRPr="002858FB" w14:paraId="218B2775" w14:textId="77777777" w:rsidTr="001C46AC">
        <w:trPr>
          <w:trHeight w:val="319"/>
          <w:tblCellSpacing w:w="11" w:type="dxa"/>
        </w:trPr>
        <w:tc>
          <w:tcPr>
            <w:tcW w:w="499" w:type="pct"/>
            <w:tcBorders>
              <w:left w:val="single" w:sz="4" w:space="0" w:color="auto"/>
            </w:tcBorders>
          </w:tcPr>
          <w:p w14:paraId="06566762" w14:textId="77777777" w:rsidR="00102F78" w:rsidRPr="002858FB" w:rsidRDefault="00102F78" w:rsidP="00104F60">
            <w:pPr>
              <w:pStyle w:val="ReportHead2"/>
              <w:keepNext w:val="0"/>
              <w:tabs>
                <w:tab w:val="num" w:pos="714"/>
              </w:tabs>
              <w:rPr>
                <w:rFonts w:ascii="Atkinson Hyperlegible" w:hAnsi="Atkinson Hyperlegible"/>
                <w:color w:val="FF0000"/>
                <w:szCs w:val="24"/>
              </w:rPr>
            </w:pPr>
          </w:p>
        </w:tc>
        <w:tc>
          <w:tcPr>
            <w:tcW w:w="4466" w:type="pct"/>
            <w:gridSpan w:val="2"/>
            <w:tcBorders>
              <w:right w:val="single" w:sz="4" w:space="0" w:color="auto"/>
            </w:tcBorders>
          </w:tcPr>
          <w:p w14:paraId="3BC8CDC7" w14:textId="2539F0FB" w:rsidR="00102F78" w:rsidRDefault="00102F78" w:rsidP="00AD7C02">
            <w:pPr>
              <w:tabs>
                <w:tab w:val="num" w:pos="714"/>
              </w:tabs>
              <w:rPr>
                <w:rFonts w:ascii="Atkinson Hyperlegible" w:hAnsi="Atkinson Hyperlegible" w:cs="Arial"/>
              </w:rPr>
            </w:pPr>
            <w:r>
              <w:rPr>
                <w:rFonts w:ascii="Atkinson Hyperlegible" w:hAnsi="Atkinson Hyperlegible" w:cs="Arial"/>
              </w:rPr>
              <w:t>Recruitment remains a significant risk with all neighbourhood teams</w:t>
            </w:r>
            <w:r w:rsidR="004C77D0">
              <w:rPr>
                <w:rFonts w:ascii="Atkinson Hyperlegible" w:hAnsi="Atkinson Hyperlegible" w:cs="Arial"/>
              </w:rPr>
              <w:t>,</w:t>
            </w:r>
            <w:r>
              <w:rPr>
                <w:rFonts w:ascii="Atkinson Hyperlegible" w:hAnsi="Atkinson Hyperlegible" w:cs="Arial"/>
              </w:rPr>
              <w:t xml:space="preserve"> L</w:t>
            </w:r>
            <w:r w:rsidR="004C77D0">
              <w:rPr>
                <w:rFonts w:ascii="Atkinson Hyperlegible" w:hAnsi="Atkinson Hyperlegible" w:cs="Arial"/>
              </w:rPr>
              <w:t>earning Disability and Preparing for Adulthood teams</w:t>
            </w:r>
            <w:r>
              <w:rPr>
                <w:rFonts w:ascii="Atkinson Hyperlegible" w:hAnsi="Atkinson Hyperlegible" w:cs="Arial"/>
              </w:rPr>
              <w:t xml:space="preserve"> continuing to have </w:t>
            </w:r>
            <w:r w:rsidR="002865BE">
              <w:rPr>
                <w:rFonts w:ascii="Atkinson Hyperlegible" w:hAnsi="Atkinson Hyperlegible" w:cs="Arial"/>
              </w:rPr>
              <w:t>many</w:t>
            </w:r>
            <w:r w:rsidR="00FE4FCD">
              <w:rPr>
                <w:rFonts w:ascii="Atkinson Hyperlegible" w:hAnsi="Atkinson Hyperlegible" w:cs="Arial"/>
              </w:rPr>
              <w:t xml:space="preserve"> permanent vacancies and/ or locums. </w:t>
            </w:r>
            <w:r w:rsidR="005E4608">
              <w:rPr>
                <w:rFonts w:ascii="Atkinson Hyperlegible" w:hAnsi="Atkinson Hyperlegible" w:cs="Arial"/>
              </w:rPr>
              <w:t xml:space="preserve"> </w:t>
            </w:r>
            <w:r w:rsidR="00FE4FCD">
              <w:rPr>
                <w:rFonts w:ascii="Atkinson Hyperlegible" w:hAnsi="Atkinson Hyperlegible" w:cs="Arial"/>
              </w:rPr>
              <w:t>Since the introduction of the</w:t>
            </w:r>
            <w:r w:rsidR="005E4608">
              <w:rPr>
                <w:rFonts w:ascii="Atkinson Hyperlegible" w:hAnsi="Atkinson Hyperlegible" w:cs="Arial"/>
              </w:rPr>
              <w:t xml:space="preserve"> Council’s</w:t>
            </w:r>
            <w:r w:rsidR="00FE4FCD">
              <w:rPr>
                <w:rFonts w:ascii="Atkinson Hyperlegible" w:hAnsi="Atkinson Hyperlegible" w:cs="Arial"/>
              </w:rPr>
              <w:t xml:space="preserve"> Establishment Recruitment </w:t>
            </w:r>
            <w:r w:rsidR="005E4608">
              <w:rPr>
                <w:rFonts w:ascii="Atkinson Hyperlegible" w:hAnsi="Atkinson Hyperlegible" w:cs="Arial"/>
              </w:rPr>
              <w:t>C</w:t>
            </w:r>
            <w:r w:rsidR="00FE4FCD">
              <w:rPr>
                <w:rFonts w:ascii="Atkinson Hyperlegible" w:hAnsi="Atkinson Hyperlegible" w:cs="Arial"/>
              </w:rPr>
              <w:t xml:space="preserve">ontrol </w:t>
            </w:r>
            <w:r w:rsidR="005E4608">
              <w:rPr>
                <w:rFonts w:ascii="Atkinson Hyperlegible" w:hAnsi="Atkinson Hyperlegible" w:cs="Arial"/>
              </w:rPr>
              <w:t>B</w:t>
            </w:r>
            <w:r w:rsidR="00FE4FCD">
              <w:rPr>
                <w:rFonts w:ascii="Atkinson Hyperlegible" w:hAnsi="Atkinson Hyperlegible" w:cs="Arial"/>
              </w:rPr>
              <w:t>oard</w:t>
            </w:r>
            <w:r w:rsidR="00E30229">
              <w:rPr>
                <w:rFonts w:ascii="Atkinson Hyperlegible" w:hAnsi="Atkinson Hyperlegible" w:cs="Arial"/>
              </w:rPr>
              <w:t xml:space="preserve"> in October</w:t>
            </w:r>
            <w:r w:rsidR="005E4608">
              <w:rPr>
                <w:rFonts w:ascii="Atkinson Hyperlegible" w:hAnsi="Atkinson Hyperlegible" w:cs="Arial"/>
              </w:rPr>
              <w:t xml:space="preserve"> 2023</w:t>
            </w:r>
            <w:r w:rsidR="004C77D0">
              <w:rPr>
                <w:rFonts w:ascii="Atkinson Hyperlegible" w:hAnsi="Atkinson Hyperlegible" w:cs="Arial"/>
              </w:rPr>
              <w:t xml:space="preserve"> </w:t>
            </w:r>
            <w:r w:rsidR="006B2DAD">
              <w:rPr>
                <w:rFonts w:ascii="Atkinson Hyperlegible" w:hAnsi="Atkinson Hyperlegible" w:cs="Arial"/>
              </w:rPr>
              <w:t>as part of managing the Council’s financial emergency</w:t>
            </w:r>
            <w:r w:rsidR="00E30229">
              <w:rPr>
                <w:rFonts w:ascii="Atkinson Hyperlegible" w:hAnsi="Atkinson Hyperlegible" w:cs="Arial"/>
              </w:rPr>
              <w:t xml:space="preserve">, </w:t>
            </w:r>
            <w:r w:rsidR="005E4608">
              <w:rPr>
                <w:rFonts w:ascii="Atkinson Hyperlegible" w:hAnsi="Atkinson Hyperlegible" w:cs="Arial"/>
              </w:rPr>
              <w:t>Adult Social Care</w:t>
            </w:r>
            <w:r w:rsidR="00E30229">
              <w:rPr>
                <w:rFonts w:ascii="Atkinson Hyperlegible" w:hAnsi="Atkinson Hyperlegible" w:cs="Arial"/>
              </w:rPr>
              <w:t xml:space="preserve"> has had approval for the recruitment of 5 locum S</w:t>
            </w:r>
            <w:r w:rsidR="005E4608">
              <w:rPr>
                <w:rFonts w:ascii="Atkinson Hyperlegible" w:hAnsi="Atkinson Hyperlegible" w:cs="Arial"/>
              </w:rPr>
              <w:t>ocial Work</w:t>
            </w:r>
            <w:r w:rsidR="00E30229">
              <w:rPr>
                <w:rFonts w:ascii="Atkinson Hyperlegible" w:hAnsi="Atkinson Hyperlegible" w:cs="Arial"/>
              </w:rPr>
              <w:t xml:space="preserve"> posts and </w:t>
            </w:r>
            <w:r w:rsidR="002865BE">
              <w:rPr>
                <w:rFonts w:ascii="Atkinson Hyperlegible" w:hAnsi="Atkinson Hyperlegible" w:cs="Arial"/>
              </w:rPr>
              <w:t>several</w:t>
            </w:r>
            <w:r w:rsidR="00E30229">
              <w:rPr>
                <w:rFonts w:ascii="Atkinson Hyperlegible" w:hAnsi="Atkinson Hyperlegible" w:cs="Arial"/>
              </w:rPr>
              <w:t xml:space="preserve"> A</w:t>
            </w:r>
            <w:r w:rsidR="005E4608">
              <w:rPr>
                <w:rFonts w:ascii="Atkinson Hyperlegible" w:hAnsi="Atkinson Hyperlegible" w:cs="Arial"/>
              </w:rPr>
              <w:t>dvanced Practitioner</w:t>
            </w:r>
            <w:r w:rsidR="00E30229">
              <w:rPr>
                <w:rFonts w:ascii="Atkinson Hyperlegible" w:hAnsi="Atkinson Hyperlegible" w:cs="Arial"/>
              </w:rPr>
              <w:t xml:space="preserve"> posts. The recruitment of these is ongoing</w:t>
            </w:r>
            <w:r w:rsidR="007771F3">
              <w:rPr>
                <w:rFonts w:ascii="Atkinson Hyperlegible" w:hAnsi="Atkinson Hyperlegible" w:cs="Arial"/>
              </w:rPr>
              <w:t>. There has been a recent</w:t>
            </w:r>
            <w:r w:rsidR="002865BE">
              <w:rPr>
                <w:rFonts w:ascii="Atkinson Hyperlegible" w:hAnsi="Atkinson Hyperlegible" w:cs="Arial"/>
              </w:rPr>
              <w:t xml:space="preserve"> shuffle</w:t>
            </w:r>
            <w:r w:rsidR="007771F3">
              <w:rPr>
                <w:rFonts w:ascii="Atkinson Hyperlegible" w:hAnsi="Atkinson Hyperlegible" w:cs="Arial"/>
              </w:rPr>
              <w:t xml:space="preserve"> around of management cover at service manager level to even up the numbers between East and West neighbourhood teams.</w:t>
            </w:r>
            <w:r w:rsidR="00E30229">
              <w:rPr>
                <w:rFonts w:ascii="Atkinson Hyperlegible" w:hAnsi="Atkinson Hyperlegible" w:cs="Arial"/>
              </w:rPr>
              <w:t xml:space="preserve"> </w:t>
            </w:r>
          </w:p>
        </w:tc>
      </w:tr>
      <w:tr w:rsidR="00257266" w:rsidRPr="00257266" w14:paraId="7E7C73F0" w14:textId="77777777" w:rsidTr="001C46AC">
        <w:trPr>
          <w:trHeight w:val="364"/>
          <w:tblCellSpacing w:w="11" w:type="dxa"/>
        </w:trPr>
        <w:tc>
          <w:tcPr>
            <w:tcW w:w="4976" w:type="pct"/>
            <w:gridSpan w:val="3"/>
            <w:tcBorders>
              <w:left w:val="single" w:sz="4" w:space="0" w:color="auto"/>
              <w:right w:val="single" w:sz="4" w:space="0" w:color="auto"/>
            </w:tcBorders>
          </w:tcPr>
          <w:p w14:paraId="1605FB0A" w14:textId="53CC2B55" w:rsidR="00E237A3" w:rsidRPr="00E237A3" w:rsidRDefault="00195373" w:rsidP="005E4608">
            <w:pPr>
              <w:pStyle w:val="ReportHead1"/>
              <w:tabs>
                <w:tab w:val="clear" w:pos="360"/>
                <w:tab w:val="num" w:pos="714"/>
              </w:tabs>
              <w:rPr>
                <w:rFonts w:ascii="Atkinson Hyperlegible" w:hAnsi="Atkinson Hyperlegible"/>
                <w:sz w:val="24"/>
                <w:szCs w:val="24"/>
              </w:rPr>
            </w:pPr>
            <w:r w:rsidRPr="00257266">
              <w:rPr>
                <w:rFonts w:ascii="Atkinson Hyperlegible" w:hAnsi="Atkinson Hyperlegible"/>
                <w:sz w:val="24"/>
                <w:szCs w:val="24"/>
              </w:rPr>
              <w:t>Implications</w:t>
            </w:r>
            <w:r w:rsidR="00C92EDE" w:rsidRPr="00257266">
              <w:rPr>
                <w:rFonts w:ascii="Atkinson Hyperlegible" w:hAnsi="Atkinson Hyperlegible"/>
                <w:sz w:val="24"/>
                <w:szCs w:val="24"/>
              </w:rPr>
              <w:t xml:space="preserve"> and next steps</w:t>
            </w:r>
          </w:p>
        </w:tc>
      </w:tr>
      <w:tr w:rsidR="002858FB" w:rsidRPr="002858FB" w14:paraId="39479668" w14:textId="77777777" w:rsidTr="001C46AC">
        <w:trPr>
          <w:trHeight w:val="319"/>
          <w:tblCellSpacing w:w="11" w:type="dxa"/>
        </w:trPr>
        <w:tc>
          <w:tcPr>
            <w:tcW w:w="514" w:type="pct"/>
            <w:gridSpan w:val="2"/>
            <w:tcBorders>
              <w:left w:val="single" w:sz="4" w:space="0" w:color="auto"/>
            </w:tcBorders>
          </w:tcPr>
          <w:p w14:paraId="0778BF11" w14:textId="77777777" w:rsidR="00195373" w:rsidRPr="002858FB" w:rsidRDefault="00195373">
            <w:pPr>
              <w:pStyle w:val="ReportHead2"/>
              <w:keepNext w:val="0"/>
              <w:tabs>
                <w:tab w:val="num" w:pos="714"/>
              </w:tabs>
              <w:rPr>
                <w:rFonts w:ascii="Atkinson Hyperlegible" w:hAnsi="Atkinson Hyperlegible"/>
                <w:color w:val="FF0000"/>
                <w:szCs w:val="24"/>
              </w:rPr>
            </w:pPr>
          </w:p>
        </w:tc>
        <w:tc>
          <w:tcPr>
            <w:tcW w:w="4450" w:type="pct"/>
            <w:tcBorders>
              <w:right w:val="single" w:sz="4" w:space="0" w:color="auto"/>
            </w:tcBorders>
          </w:tcPr>
          <w:p w14:paraId="072379A8" w14:textId="77777777" w:rsidR="005E4608" w:rsidRDefault="00257266" w:rsidP="005E4608">
            <w:pPr>
              <w:tabs>
                <w:tab w:val="num" w:pos="714"/>
              </w:tabs>
              <w:rPr>
                <w:rFonts w:ascii="Atkinson Hyperlegible" w:hAnsi="Atkinson Hyperlegible" w:cs="Arial"/>
              </w:rPr>
            </w:pPr>
            <w:r>
              <w:rPr>
                <w:rFonts w:ascii="Atkinson Hyperlegible" w:hAnsi="Atkinson Hyperlegible" w:cs="Arial"/>
              </w:rPr>
              <w:t>During the last reporting Quarter (August to October</w:t>
            </w:r>
            <w:r w:rsidR="005E4608">
              <w:rPr>
                <w:rFonts w:ascii="Atkinson Hyperlegible" w:hAnsi="Atkinson Hyperlegible" w:cs="Arial"/>
              </w:rPr>
              <w:t xml:space="preserve"> 2023</w:t>
            </w:r>
            <w:r>
              <w:rPr>
                <w:rFonts w:ascii="Atkinson Hyperlegible" w:hAnsi="Atkinson Hyperlegible" w:cs="Arial"/>
              </w:rPr>
              <w:t xml:space="preserve">) all teams completed 2,208 Assessments, with an average length of completion of 36.26 days. </w:t>
            </w:r>
          </w:p>
          <w:p w14:paraId="3E46B2D6" w14:textId="0642A25A" w:rsidR="00195373" w:rsidRPr="002858FB" w:rsidRDefault="00257266" w:rsidP="005E4608">
            <w:pPr>
              <w:tabs>
                <w:tab w:val="num" w:pos="714"/>
              </w:tabs>
              <w:rPr>
                <w:rFonts w:cs="Arial"/>
                <w:color w:val="FF0000"/>
              </w:rPr>
            </w:pPr>
            <w:r>
              <w:rPr>
                <w:rFonts w:ascii="Atkinson Hyperlegible" w:hAnsi="Atkinson Hyperlegible" w:cs="Arial"/>
              </w:rPr>
              <w:t xml:space="preserve">In this quarter there has been an increase in completed assessments but the average number of days to completion has increased to 43.71 days. Productivity will be </w:t>
            </w:r>
            <w:r w:rsidR="005E4608">
              <w:rPr>
                <w:rFonts w:ascii="Atkinson Hyperlegible" w:hAnsi="Atkinson Hyperlegible" w:cs="Arial"/>
              </w:rPr>
              <w:t xml:space="preserve">a </w:t>
            </w:r>
            <w:r>
              <w:rPr>
                <w:rFonts w:ascii="Atkinson Hyperlegible" w:hAnsi="Atkinson Hyperlegible" w:cs="Arial"/>
              </w:rPr>
              <w:t>priority area of focus during the next quarter</w:t>
            </w:r>
            <w:r w:rsidR="00D66160">
              <w:rPr>
                <w:rFonts w:ascii="Atkinson Hyperlegible" w:hAnsi="Atkinson Hyperlegible" w:cs="Arial"/>
              </w:rPr>
              <w:t xml:space="preserve"> monitoring.</w:t>
            </w:r>
          </w:p>
        </w:tc>
      </w:tr>
      <w:tr w:rsidR="00D510AF" w:rsidRPr="002858FB" w14:paraId="5F2476BE" w14:textId="77777777" w:rsidTr="001C46AC">
        <w:trPr>
          <w:trHeight w:val="319"/>
          <w:tblCellSpacing w:w="11" w:type="dxa"/>
        </w:trPr>
        <w:tc>
          <w:tcPr>
            <w:tcW w:w="514" w:type="pct"/>
            <w:gridSpan w:val="2"/>
            <w:tcBorders>
              <w:left w:val="single" w:sz="4" w:space="0" w:color="auto"/>
            </w:tcBorders>
          </w:tcPr>
          <w:p w14:paraId="30BE8580" w14:textId="77777777" w:rsidR="00D510AF" w:rsidRPr="002858FB" w:rsidRDefault="00D510AF">
            <w:pPr>
              <w:pStyle w:val="ReportHead2"/>
              <w:keepNext w:val="0"/>
              <w:tabs>
                <w:tab w:val="num" w:pos="714"/>
              </w:tabs>
              <w:rPr>
                <w:rFonts w:ascii="Atkinson Hyperlegible" w:hAnsi="Atkinson Hyperlegible"/>
                <w:color w:val="FF0000"/>
                <w:szCs w:val="24"/>
              </w:rPr>
            </w:pPr>
          </w:p>
        </w:tc>
        <w:tc>
          <w:tcPr>
            <w:tcW w:w="4450" w:type="pct"/>
            <w:tcBorders>
              <w:right w:val="single" w:sz="4" w:space="0" w:color="auto"/>
            </w:tcBorders>
          </w:tcPr>
          <w:p w14:paraId="18145598" w14:textId="50D412B1" w:rsidR="00D510AF" w:rsidRPr="002858FB" w:rsidRDefault="00FB11A9">
            <w:pPr>
              <w:tabs>
                <w:tab w:val="num" w:pos="714"/>
              </w:tabs>
              <w:rPr>
                <w:rFonts w:cs="Arial"/>
                <w:color w:val="FF0000"/>
              </w:rPr>
            </w:pPr>
            <w:r>
              <w:rPr>
                <w:rFonts w:ascii="Atkinson Hyperlegible" w:hAnsi="Atkinson Hyperlegible" w:cs="Arial"/>
              </w:rPr>
              <w:t xml:space="preserve">Out of County reviews remain a focussed piece of work </w:t>
            </w:r>
            <w:r w:rsidR="00BC2CC0">
              <w:rPr>
                <w:rFonts w:ascii="Atkinson Hyperlegible" w:hAnsi="Atkinson Hyperlegible" w:cs="Arial"/>
              </w:rPr>
              <w:t>following the desktop reviews by service managers</w:t>
            </w:r>
            <w:r w:rsidR="008A7DE7">
              <w:rPr>
                <w:rFonts w:ascii="Atkinson Hyperlegible" w:hAnsi="Atkinson Hyperlegible" w:cs="Arial"/>
              </w:rPr>
              <w:t xml:space="preserve"> with the focussed piece of work to complete the 50 most overdue reviews face to face by the end of </w:t>
            </w:r>
            <w:r w:rsidR="00E237A3">
              <w:rPr>
                <w:rFonts w:ascii="Atkinson Hyperlegible" w:hAnsi="Atkinson Hyperlegible" w:cs="Arial"/>
              </w:rPr>
              <w:t>M</w:t>
            </w:r>
            <w:r w:rsidR="008A7DE7">
              <w:rPr>
                <w:rFonts w:ascii="Atkinson Hyperlegible" w:hAnsi="Atkinson Hyperlegible" w:cs="Arial"/>
              </w:rPr>
              <w:t>arch 2024</w:t>
            </w:r>
            <w:r w:rsidR="00E237A3">
              <w:rPr>
                <w:rFonts w:ascii="Atkinson Hyperlegible" w:hAnsi="Atkinson Hyperlegible" w:cs="Arial"/>
              </w:rPr>
              <w:t xml:space="preserve">. </w:t>
            </w:r>
            <w:r w:rsidR="00BC2CC0">
              <w:rPr>
                <w:rFonts w:ascii="Atkinson Hyperlegible" w:hAnsi="Atkinson Hyperlegible" w:cs="Arial"/>
              </w:rPr>
              <w:t xml:space="preserve"> </w:t>
            </w:r>
          </w:p>
        </w:tc>
      </w:tr>
      <w:tr w:rsidR="002858FB" w:rsidRPr="002858FB" w14:paraId="29A6F592" w14:textId="77777777" w:rsidTr="001C46AC">
        <w:trPr>
          <w:tblCellSpacing w:w="11" w:type="dxa"/>
        </w:trPr>
        <w:tc>
          <w:tcPr>
            <w:tcW w:w="4976" w:type="pct"/>
            <w:gridSpan w:val="3"/>
            <w:tcBorders>
              <w:left w:val="single" w:sz="4" w:space="0" w:color="auto"/>
              <w:bottom w:val="single" w:sz="4" w:space="0" w:color="auto"/>
              <w:right w:val="single" w:sz="4" w:space="0" w:color="auto"/>
            </w:tcBorders>
          </w:tcPr>
          <w:p w14:paraId="1325BBEC" w14:textId="77777777" w:rsidR="00195373" w:rsidRPr="00257266" w:rsidRDefault="00195373" w:rsidP="008F5D90">
            <w:pPr>
              <w:pStyle w:val="ReportHead1"/>
              <w:tabs>
                <w:tab w:val="clear" w:pos="360"/>
                <w:tab w:val="num" w:pos="714"/>
              </w:tabs>
              <w:rPr>
                <w:rFonts w:ascii="Atkinson Hyperlegible" w:hAnsi="Atkinson Hyperlegible"/>
                <w:sz w:val="24"/>
                <w:szCs w:val="24"/>
              </w:rPr>
            </w:pPr>
            <w:r w:rsidRPr="00257266">
              <w:rPr>
                <w:rFonts w:ascii="Atkinson Hyperlegible" w:hAnsi="Atkinson Hyperlegible"/>
                <w:sz w:val="24"/>
                <w:szCs w:val="24"/>
              </w:rPr>
              <w:t>Background papers</w:t>
            </w:r>
          </w:p>
        </w:tc>
      </w:tr>
    </w:tbl>
    <w:p w14:paraId="4319B25B" w14:textId="327112C1" w:rsidR="00195373" w:rsidRPr="002858FB" w:rsidRDefault="008A7DE7">
      <w:pPr>
        <w:tabs>
          <w:tab w:val="num" w:pos="714"/>
        </w:tabs>
        <w:rPr>
          <w:rFonts w:ascii="Atkinson Hyperlegible" w:hAnsi="Atkinson Hyperlegible" w:cs="Arial"/>
          <w:color w:val="FF0000"/>
        </w:rPr>
      </w:pPr>
      <w:r>
        <w:object w:dxaOrig="1539" w:dyaOrig="997" w14:anchorId="2E55F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05pt;height:49.7pt" o:ole="">
            <v:imagedata r:id="rId21" o:title=""/>
          </v:shape>
          <o:OLEObject Type="Embed" ProgID="Excel.Sheet.12" ShapeID="_x0000_i1025" DrawAspect="Icon" ObjectID="_1768624441" r:id="rId22"/>
        </w:object>
      </w:r>
    </w:p>
    <w:sectPr w:rsidR="00195373" w:rsidRPr="002858FB">
      <w:headerReference w:type="default" r:id="rId23"/>
      <w:footerReference w:type="even" r:id="rId24"/>
      <w:footerReference w:type="default" r:id="rId25"/>
      <w:headerReference w:type="first" r:id="rId26"/>
      <w:pgSz w:w="11909" w:h="16834" w:code="9"/>
      <w:pgMar w:top="851" w:right="1134" w:bottom="851" w:left="1440" w:header="39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3919" w14:textId="77777777" w:rsidR="00A469A1" w:rsidRDefault="00A469A1">
      <w:r>
        <w:separator/>
      </w:r>
    </w:p>
  </w:endnote>
  <w:endnote w:type="continuationSeparator" w:id="0">
    <w:p w14:paraId="56FC00FA" w14:textId="77777777" w:rsidR="00A469A1" w:rsidRDefault="00A4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Atkinson Hyperlegible">
    <w:altName w:val="Calibri"/>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D149" w14:textId="77777777" w:rsidR="008D43FB" w:rsidRDefault="008D43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5AB364" w14:textId="77777777" w:rsidR="008D43FB" w:rsidRDefault="008D43FB">
    <w:pPr>
      <w:pStyle w:val="Footer"/>
    </w:pPr>
  </w:p>
  <w:p w14:paraId="18A0BCF3" w14:textId="77777777" w:rsidR="008D43FB" w:rsidRDefault="008D43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15A7" w14:textId="77777777" w:rsidR="008D43FB" w:rsidRDefault="008D43FB">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265D7">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C3AD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9B3B" w14:textId="77777777" w:rsidR="00A469A1" w:rsidRDefault="00A469A1">
      <w:r>
        <w:separator/>
      </w:r>
    </w:p>
  </w:footnote>
  <w:footnote w:type="continuationSeparator" w:id="0">
    <w:p w14:paraId="429B9BC7" w14:textId="77777777" w:rsidR="00A469A1" w:rsidRDefault="00A46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8EFA" w14:textId="4602B965" w:rsidR="008D43FB" w:rsidRPr="000A3677" w:rsidRDefault="008D43FB">
    <w:pPr>
      <w:pStyle w:val="Header"/>
      <w:jc w:val="center"/>
      <w:rPr>
        <w:rFonts w:ascii="Atkinson Hyperlegible" w:hAnsi="Atkinson Hyperlegible" w:cs="Microsoft New Tai Lue"/>
        <w:sz w:val="24"/>
      </w:rPr>
    </w:pPr>
    <w:r w:rsidRPr="000A3677">
      <w:rPr>
        <w:rFonts w:ascii="Atkinson Hyperlegible" w:hAnsi="Atkinson Hyperlegible" w:cs="Microsoft New Tai Lue"/>
        <w:sz w:val="24"/>
      </w:rPr>
      <w:t>(</w:t>
    </w:r>
    <w:r w:rsidR="00E04BA8">
      <w:rPr>
        <w:rFonts w:ascii="Atkinson Hyperlegible" w:hAnsi="Atkinson Hyperlegible" w:cs="Microsoft New Tai Lue"/>
        <w:sz w:val="24"/>
      </w:rPr>
      <w:t>Somerset Safeguarding Adults Board Q&amp;P Subgroup</w:t>
    </w:r>
    <w:r w:rsidRPr="000A3677">
      <w:rPr>
        <w:rFonts w:ascii="Atkinson Hyperlegible" w:hAnsi="Atkinson Hyperlegible" w:cs="Microsoft New Tai Lue"/>
        <w:sz w:val="24"/>
      </w:rPr>
      <w:t xml:space="preserve"> –</w:t>
    </w:r>
    <w:r w:rsidR="001B4292">
      <w:rPr>
        <w:rFonts w:ascii="Atkinson Hyperlegible" w:hAnsi="Atkinson Hyperlegible" w:cs="Microsoft New Tai Lue"/>
        <w:sz w:val="24"/>
      </w:rPr>
      <w:t xml:space="preserve"> 8 </w:t>
    </w:r>
    <w:r w:rsidR="00257266">
      <w:rPr>
        <w:rFonts w:ascii="Atkinson Hyperlegible" w:hAnsi="Atkinson Hyperlegible" w:cs="Microsoft New Tai Lue"/>
        <w:sz w:val="24"/>
      </w:rPr>
      <w:t>February 2024</w:t>
    </w:r>
    <w:r w:rsidRPr="000A3677">
      <w:rPr>
        <w:rFonts w:ascii="Atkinson Hyperlegible" w:hAnsi="Atkinson Hyperlegible" w:cs="Microsoft New Tai Lue"/>
        <w:sz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6B23" w14:textId="77777777" w:rsidR="008D43FB" w:rsidRDefault="008D43FB">
    <w:pPr>
      <w:pStyle w:val="Header"/>
      <w:jc w:val="center"/>
      <w:rPr>
        <w:sz w:val="20"/>
      </w:rPr>
    </w:pPr>
    <w:r>
      <w:rPr>
        <w:sz w:val="20"/>
      </w:rPr>
      <w:t>(</w:t>
    </w:r>
    <w:r>
      <w:rPr>
        <w:sz w:val="20"/>
      </w:rPr>
      <w:fldChar w:fldCharType="begin"/>
    </w:r>
    <w:r>
      <w:rPr>
        <w:sz w:val="20"/>
      </w:rPr>
      <w:instrText xml:space="preserve">MACROBUTTON NoMacro [Click </w:instrText>
    </w:r>
    <w:r>
      <w:rPr>
        <w:b/>
        <w:sz w:val="20"/>
      </w:rPr>
      <w:instrText>here</w:instrText>
    </w:r>
    <w:r>
      <w:rPr>
        <w:sz w:val="20"/>
      </w:rPr>
      <w:instrText xml:space="preserve"> and type Committee name]</w:instrText>
    </w:r>
    <w:r>
      <w:rPr>
        <w:sz w:val="20"/>
      </w:rPr>
      <w:fldChar w:fldCharType="end"/>
    </w:r>
    <w:r>
      <w:rPr>
        <w:sz w:val="20"/>
      </w:rPr>
      <w:t xml:space="preserve"> – </w:t>
    </w:r>
    <w:r>
      <w:rPr>
        <w:sz w:val="20"/>
      </w:rPr>
      <w:fldChar w:fldCharType="begin"/>
    </w:r>
    <w:r>
      <w:rPr>
        <w:sz w:val="20"/>
      </w:rPr>
      <w:instrText xml:space="preserve">MACROBUTTON NoMacro [Click </w:instrText>
    </w:r>
    <w:r>
      <w:rPr>
        <w:b/>
        <w:sz w:val="20"/>
      </w:rPr>
      <w:instrText>here</w:instrText>
    </w:r>
    <w:r>
      <w:rPr>
        <w:sz w:val="20"/>
      </w:rPr>
      <w:instrText xml:space="preserve"> and type date]</w:instrText>
    </w:r>
    <w:r>
      <w:rPr>
        <w:sz w:val="20"/>
      </w:rPr>
      <w:fldChar w:fldCharType="end"/>
    </w:r>
    <w:r>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47D9D"/>
    <w:multiLevelType w:val="hybridMultilevel"/>
    <w:tmpl w:val="23887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4D7F5C"/>
    <w:multiLevelType w:val="multilevel"/>
    <w:tmpl w:val="12EA1976"/>
    <w:lvl w:ilvl="0">
      <w:start w:val="1"/>
      <w:numFmt w:val="decimal"/>
      <w:lvlRestart w:val="0"/>
      <w:pStyle w:val="ReportHead1"/>
      <w:lvlText w:val="%1."/>
      <w:lvlJc w:val="left"/>
      <w:pPr>
        <w:tabs>
          <w:tab w:val="num" w:pos="360"/>
        </w:tabs>
        <w:ind w:left="357" w:hanging="357"/>
      </w:pPr>
      <w:rPr>
        <w:rFonts w:hint="default"/>
      </w:rPr>
    </w:lvl>
    <w:lvl w:ilvl="1">
      <w:start w:val="1"/>
      <w:numFmt w:val="decimal"/>
      <w:pStyle w:val="ReportHead2"/>
      <w:suff w:val="nothing"/>
      <w:lvlText w:val="%1.%2."/>
      <w:lvlJc w:val="left"/>
      <w:pPr>
        <w:ind w:left="641" w:hanging="357"/>
      </w:pPr>
      <w:rPr>
        <w:rFonts w:ascii="Microsoft New Tai Lue" w:hAnsi="Microsoft New Tai Lue" w:cs="Microsoft New Tai Lue" w:hint="default"/>
        <w:color w:val="auto"/>
      </w:rPr>
    </w:lvl>
    <w:lvl w:ilvl="2">
      <w:start w:val="1"/>
      <w:numFmt w:val="decimal"/>
      <w:suff w:val="nothing"/>
      <w:lvlText w:val="%1.%2.%3."/>
      <w:lvlJc w:val="left"/>
      <w:pPr>
        <w:ind w:left="357" w:hanging="357"/>
      </w:pPr>
      <w:rPr>
        <w:rFonts w:ascii="Arial" w:hAnsi="Arial" w:hint="default"/>
        <w:b w:val="0"/>
        <w:i w:val="0"/>
        <w:sz w:val="24"/>
      </w:rPr>
    </w:lvl>
    <w:lvl w:ilvl="3">
      <w:start w:val="1"/>
      <w:numFmt w:val="decimal"/>
      <w:lvlText w:val="%1.%2.%3.%4."/>
      <w:lvlJc w:val="left"/>
      <w:pPr>
        <w:tabs>
          <w:tab w:val="num" w:pos="2160"/>
        </w:tabs>
        <w:ind w:left="1729" w:hanging="652"/>
      </w:pPr>
      <w:rPr>
        <w:rFonts w:hint="default"/>
      </w:rPr>
    </w:lvl>
    <w:lvl w:ilvl="4">
      <w:start w:val="1"/>
      <w:numFmt w:val="decimal"/>
      <w:lvlText w:val="%1.%2.%3.%4.%5."/>
      <w:lvlJc w:val="left"/>
      <w:pPr>
        <w:tabs>
          <w:tab w:val="num" w:pos="2880"/>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957"/>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5040"/>
        </w:tabs>
        <w:ind w:left="4320" w:hanging="1440"/>
      </w:pPr>
      <w:rPr>
        <w:rFonts w:hint="default"/>
      </w:rPr>
    </w:lvl>
  </w:abstractNum>
  <w:num w:numId="1" w16cid:durableId="218904522">
    <w:abstractNumId w:val="1"/>
  </w:num>
  <w:num w:numId="2" w16cid:durableId="273055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851545">
    <w:abstractNumId w:val="1"/>
  </w:num>
  <w:num w:numId="4" w16cid:durableId="1496066215">
    <w:abstractNumId w:val="1"/>
  </w:num>
  <w:num w:numId="5" w16cid:durableId="1229220100">
    <w:abstractNumId w:val="1"/>
  </w:num>
  <w:num w:numId="6" w16cid:durableId="324600502">
    <w:abstractNumId w:val="1"/>
  </w:num>
  <w:num w:numId="7" w16cid:durableId="484664436">
    <w:abstractNumId w:val="1"/>
  </w:num>
  <w:num w:numId="8" w16cid:durableId="967468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73"/>
    <w:rsid w:val="00002A75"/>
    <w:rsid w:val="00014CA6"/>
    <w:rsid w:val="00014E64"/>
    <w:rsid w:val="000204D8"/>
    <w:rsid w:val="00020F35"/>
    <w:rsid w:val="00035267"/>
    <w:rsid w:val="00035F90"/>
    <w:rsid w:val="000362DE"/>
    <w:rsid w:val="00052839"/>
    <w:rsid w:val="00056216"/>
    <w:rsid w:val="00056DC6"/>
    <w:rsid w:val="00076790"/>
    <w:rsid w:val="00082E8B"/>
    <w:rsid w:val="000858A7"/>
    <w:rsid w:val="000945CB"/>
    <w:rsid w:val="00094DF8"/>
    <w:rsid w:val="000978A2"/>
    <w:rsid w:val="000A3677"/>
    <w:rsid w:val="000A67DC"/>
    <w:rsid w:val="000B0742"/>
    <w:rsid w:val="000B3CC7"/>
    <w:rsid w:val="000B665C"/>
    <w:rsid w:val="000C1DE6"/>
    <w:rsid w:val="000D1A8E"/>
    <w:rsid w:val="000D7715"/>
    <w:rsid w:val="000D7F7C"/>
    <w:rsid w:val="000F1BB3"/>
    <w:rsid w:val="000F5140"/>
    <w:rsid w:val="00102F78"/>
    <w:rsid w:val="00104F60"/>
    <w:rsid w:val="00107442"/>
    <w:rsid w:val="00107C0E"/>
    <w:rsid w:val="00112D2F"/>
    <w:rsid w:val="001157E6"/>
    <w:rsid w:val="00117339"/>
    <w:rsid w:val="00117E2B"/>
    <w:rsid w:val="00120EAD"/>
    <w:rsid w:val="00121186"/>
    <w:rsid w:val="00122617"/>
    <w:rsid w:val="0012292B"/>
    <w:rsid w:val="00122A9E"/>
    <w:rsid w:val="00127E1A"/>
    <w:rsid w:val="0013219D"/>
    <w:rsid w:val="00136B38"/>
    <w:rsid w:val="00140EFB"/>
    <w:rsid w:val="00145946"/>
    <w:rsid w:val="00145AC2"/>
    <w:rsid w:val="00150A23"/>
    <w:rsid w:val="0016043F"/>
    <w:rsid w:val="00166118"/>
    <w:rsid w:val="00186149"/>
    <w:rsid w:val="00191DEE"/>
    <w:rsid w:val="00195373"/>
    <w:rsid w:val="001A178C"/>
    <w:rsid w:val="001A401C"/>
    <w:rsid w:val="001A5678"/>
    <w:rsid w:val="001B3429"/>
    <w:rsid w:val="001B4292"/>
    <w:rsid w:val="001C0AA2"/>
    <w:rsid w:val="001C46AC"/>
    <w:rsid w:val="001C6388"/>
    <w:rsid w:val="001D1202"/>
    <w:rsid w:val="001D39A4"/>
    <w:rsid w:val="001D454F"/>
    <w:rsid w:val="001D69F8"/>
    <w:rsid w:val="001D6FCF"/>
    <w:rsid w:val="001E512C"/>
    <w:rsid w:val="001F18B8"/>
    <w:rsid w:val="0021747A"/>
    <w:rsid w:val="00224070"/>
    <w:rsid w:val="002263DE"/>
    <w:rsid w:val="002340D2"/>
    <w:rsid w:val="00235DC7"/>
    <w:rsid w:val="00245F4E"/>
    <w:rsid w:val="00252BC4"/>
    <w:rsid w:val="00257266"/>
    <w:rsid w:val="002661D2"/>
    <w:rsid w:val="002704F4"/>
    <w:rsid w:val="00270CEF"/>
    <w:rsid w:val="00274C63"/>
    <w:rsid w:val="002858FB"/>
    <w:rsid w:val="002865BE"/>
    <w:rsid w:val="002957A8"/>
    <w:rsid w:val="002A60A5"/>
    <w:rsid w:val="002A6381"/>
    <w:rsid w:val="002B0D4F"/>
    <w:rsid w:val="002B4EF8"/>
    <w:rsid w:val="002C11DA"/>
    <w:rsid w:val="002C48F1"/>
    <w:rsid w:val="002D3CF8"/>
    <w:rsid w:val="002E17BE"/>
    <w:rsid w:val="002F54A8"/>
    <w:rsid w:val="00302062"/>
    <w:rsid w:val="0031559F"/>
    <w:rsid w:val="003365D1"/>
    <w:rsid w:val="00343F5D"/>
    <w:rsid w:val="00344FF9"/>
    <w:rsid w:val="0035587C"/>
    <w:rsid w:val="00356DEC"/>
    <w:rsid w:val="003601C5"/>
    <w:rsid w:val="00365BA4"/>
    <w:rsid w:val="00367C76"/>
    <w:rsid w:val="003700CB"/>
    <w:rsid w:val="0037524F"/>
    <w:rsid w:val="00383754"/>
    <w:rsid w:val="00385561"/>
    <w:rsid w:val="003938D8"/>
    <w:rsid w:val="003A0522"/>
    <w:rsid w:val="003C17AC"/>
    <w:rsid w:val="003D2849"/>
    <w:rsid w:val="003D322C"/>
    <w:rsid w:val="003D546A"/>
    <w:rsid w:val="003E7ED4"/>
    <w:rsid w:val="003F0905"/>
    <w:rsid w:val="003F19C1"/>
    <w:rsid w:val="003F2D74"/>
    <w:rsid w:val="004019B3"/>
    <w:rsid w:val="004066AF"/>
    <w:rsid w:val="00413670"/>
    <w:rsid w:val="00415463"/>
    <w:rsid w:val="004346D9"/>
    <w:rsid w:val="00441CFF"/>
    <w:rsid w:val="00443316"/>
    <w:rsid w:val="00443671"/>
    <w:rsid w:val="00443F90"/>
    <w:rsid w:val="00444F44"/>
    <w:rsid w:val="00453E99"/>
    <w:rsid w:val="00462B99"/>
    <w:rsid w:val="00464CB9"/>
    <w:rsid w:val="00473AD1"/>
    <w:rsid w:val="00474FBB"/>
    <w:rsid w:val="004753C1"/>
    <w:rsid w:val="00477B4D"/>
    <w:rsid w:val="004827B9"/>
    <w:rsid w:val="00485B01"/>
    <w:rsid w:val="00486144"/>
    <w:rsid w:val="0048744A"/>
    <w:rsid w:val="004B145E"/>
    <w:rsid w:val="004B1E06"/>
    <w:rsid w:val="004B3C6A"/>
    <w:rsid w:val="004C01E1"/>
    <w:rsid w:val="004C2876"/>
    <w:rsid w:val="004C5CF9"/>
    <w:rsid w:val="004C77D0"/>
    <w:rsid w:val="004D0438"/>
    <w:rsid w:val="004D147B"/>
    <w:rsid w:val="004D19C0"/>
    <w:rsid w:val="004E1617"/>
    <w:rsid w:val="004F1168"/>
    <w:rsid w:val="004F1A40"/>
    <w:rsid w:val="004F6189"/>
    <w:rsid w:val="00525E76"/>
    <w:rsid w:val="005265D7"/>
    <w:rsid w:val="005303CE"/>
    <w:rsid w:val="00530843"/>
    <w:rsid w:val="0054060D"/>
    <w:rsid w:val="00541E94"/>
    <w:rsid w:val="0055191A"/>
    <w:rsid w:val="00557309"/>
    <w:rsid w:val="00563084"/>
    <w:rsid w:val="00563126"/>
    <w:rsid w:val="00581AB6"/>
    <w:rsid w:val="005861A8"/>
    <w:rsid w:val="0059551C"/>
    <w:rsid w:val="005956C1"/>
    <w:rsid w:val="005A1992"/>
    <w:rsid w:val="005B3418"/>
    <w:rsid w:val="005B597F"/>
    <w:rsid w:val="005B614A"/>
    <w:rsid w:val="005C1568"/>
    <w:rsid w:val="005C6452"/>
    <w:rsid w:val="005D3DFB"/>
    <w:rsid w:val="005D6456"/>
    <w:rsid w:val="005E4608"/>
    <w:rsid w:val="005E69B2"/>
    <w:rsid w:val="005F1F17"/>
    <w:rsid w:val="00601C4F"/>
    <w:rsid w:val="006069F9"/>
    <w:rsid w:val="00615F37"/>
    <w:rsid w:val="00617552"/>
    <w:rsid w:val="006351BA"/>
    <w:rsid w:val="00635F64"/>
    <w:rsid w:val="00636A6F"/>
    <w:rsid w:val="006419C3"/>
    <w:rsid w:val="00641B85"/>
    <w:rsid w:val="0065013E"/>
    <w:rsid w:val="0065187F"/>
    <w:rsid w:val="006645F3"/>
    <w:rsid w:val="00676778"/>
    <w:rsid w:val="00686721"/>
    <w:rsid w:val="00692C61"/>
    <w:rsid w:val="00692EFE"/>
    <w:rsid w:val="00695E58"/>
    <w:rsid w:val="0069667E"/>
    <w:rsid w:val="006A4BE9"/>
    <w:rsid w:val="006B2DAD"/>
    <w:rsid w:val="006C08E7"/>
    <w:rsid w:val="006C74FD"/>
    <w:rsid w:val="006D0183"/>
    <w:rsid w:val="006D1DD8"/>
    <w:rsid w:val="006D24E6"/>
    <w:rsid w:val="006D302C"/>
    <w:rsid w:val="006D42B0"/>
    <w:rsid w:val="006D798F"/>
    <w:rsid w:val="006E4CD4"/>
    <w:rsid w:val="006F1E4C"/>
    <w:rsid w:val="006F4577"/>
    <w:rsid w:val="006F4987"/>
    <w:rsid w:val="006F5BAA"/>
    <w:rsid w:val="006F677B"/>
    <w:rsid w:val="0070079E"/>
    <w:rsid w:val="00707E5A"/>
    <w:rsid w:val="007111B9"/>
    <w:rsid w:val="00716CA1"/>
    <w:rsid w:val="00726A6E"/>
    <w:rsid w:val="007320AD"/>
    <w:rsid w:val="0073696E"/>
    <w:rsid w:val="0074303B"/>
    <w:rsid w:val="00750816"/>
    <w:rsid w:val="007508E1"/>
    <w:rsid w:val="00755F60"/>
    <w:rsid w:val="007561D3"/>
    <w:rsid w:val="00757976"/>
    <w:rsid w:val="00763B5A"/>
    <w:rsid w:val="007641E5"/>
    <w:rsid w:val="00767068"/>
    <w:rsid w:val="007700A2"/>
    <w:rsid w:val="0077389A"/>
    <w:rsid w:val="00773C4B"/>
    <w:rsid w:val="00773D7C"/>
    <w:rsid w:val="007741ED"/>
    <w:rsid w:val="007771F3"/>
    <w:rsid w:val="00782721"/>
    <w:rsid w:val="0078423D"/>
    <w:rsid w:val="0078469B"/>
    <w:rsid w:val="00787F3D"/>
    <w:rsid w:val="0079153F"/>
    <w:rsid w:val="0079704C"/>
    <w:rsid w:val="007978BE"/>
    <w:rsid w:val="007C3442"/>
    <w:rsid w:val="007C3630"/>
    <w:rsid w:val="007C5AEC"/>
    <w:rsid w:val="007D43C3"/>
    <w:rsid w:val="007E70CB"/>
    <w:rsid w:val="00810303"/>
    <w:rsid w:val="00812A74"/>
    <w:rsid w:val="00825754"/>
    <w:rsid w:val="00837CB4"/>
    <w:rsid w:val="00837F78"/>
    <w:rsid w:val="00847A6E"/>
    <w:rsid w:val="00851E1B"/>
    <w:rsid w:val="008551E4"/>
    <w:rsid w:val="00857C2C"/>
    <w:rsid w:val="00860562"/>
    <w:rsid w:val="00864083"/>
    <w:rsid w:val="0088081B"/>
    <w:rsid w:val="00884C52"/>
    <w:rsid w:val="00890297"/>
    <w:rsid w:val="00895128"/>
    <w:rsid w:val="008A587A"/>
    <w:rsid w:val="008A7DE7"/>
    <w:rsid w:val="008B13FB"/>
    <w:rsid w:val="008B464F"/>
    <w:rsid w:val="008C1A4F"/>
    <w:rsid w:val="008D1067"/>
    <w:rsid w:val="008D43FB"/>
    <w:rsid w:val="008D4753"/>
    <w:rsid w:val="008E5923"/>
    <w:rsid w:val="008F328C"/>
    <w:rsid w:val="008F5D90"/>
    <w:rsid w:val="008F66B8"/>
    <w:rsid w:val="00901643"/>
    <w:rsid w:val="0090594B"/>
    <w:rsid w:val="00907D9C"/>
    <w:rsid w:val="00910E06"/>
    <w:rsid w:val="00912D54"/>
    <w:rsid w:val="00914106"/>
    <w:rsid w:val="009177F9"/>
    <w:rsid w:val="00921C02"/>
    <w:rsid w:val="00926B91"/>
    <w:rsid w:val="00933A99"/>
    <w:rsid w:val="00933D6F"/>
    <w:rsid w:val="009427DF"/>
    <w:rsid w:val="00942963"/>
    <w:rsid w:val="00946B64"/>
    <w:rsid w:val="009479DD"/>
    <w:rsid w:val="00952714"/>
    <w:rsid w:val="00954C00"/>
    <w:rsid w:val="00955821"/>
    <w:rsid w:val="00972DCF"/>
    <w:rsid w:val="0098601B"/>
    <w:rsid w:val="00996F74"/>
    <w:rsid w:val="009B29C5"/>
    <w:rsid w:val="009B6B7D"/>
    <w:rsid w:val="009C2FA7"/>
    <w:rsid w:val="009D14FF"/>
    <w:rsid w:val="009D169B"/>
    <w:rsid w:val="009D179A"/>
    <w:rsid w:val="009D485C"/>
    <w:rsid w:val="009D5484"/>
    <w:rsid w:val="009D610D"/>
    <w:rsid w:val="009E0A83"/>
    <w:rsid w:val="009E1B1A"/>
    <w:rsid w:val="009E1DBF"/>
    <w:rsid w:val="009F5C1D"/>
    <w:rsid w:val="00A010BE"/>
    <w:rsid w:val="00A03271"/>
    <w:rsid w:val="00A03BFF"/>
    <w:rsid w:val="00A050EA"/>
    <w:rsid w:val="00A05600"/>
    <w:rsid w:val="00A07DC3"/>
    <w:rsid w:val="00A102B3"/>
    <w:rsid w:val="00A13C6E"/>
    <w:rsid w:val="00A2029F"/>
    <w:rsid w:val="00A27CE2"/>
    <w:rsid w:val="00A40FDF"/>
    <w:rsid w:val="00A4361C"/>
    <w:rsid w:val="00A43D4B"/>
    <w:rsid w:val="00A469A1"/>
    <w:rsid w:val="00A469BB"/>
    <w:rsid w:val="00A533EE"/>
    <w:rsid w:val="00A612C0"/>
    <w:rsid w:val="00A62319"/>
    <w:rsid w:val="00A6245F"/>
    <w:rsid w:val="00A64973"/>
    <w:rsid w:val="00A678F5"/>
    <w:rsid w:val="00A7274D"/>
    <w:rsid w:val="00A8144A"/>
    <w:rsid w:val="00A82938"/>
    <w:rsid w:val="00A85B13"/>
    <w:rsid w:val="00A8787A"/>
    <w:rsid w:val="00A90A5C"/>
    <w:rsid w:val="00A94420"/>
    <w:rsid w:val="00AA1BC6"/>
    <w:rsid w:val="00AA2824"/>
    <w:rsid w:val="00AA3808"/>
    <w:rsid w:val="00AB2DD2"/>
    <w:rsid w:val="00AC57EE"/>
    <w:rsid w:val="00AD7C02"/>
    <w:rsid w:val="00AF4F5C"/>
    <w:rsid w:val="00AF5A1D"/>
    <w:rsid w:val="00AF5F0F"/>
    <w:rsid w:val="00AF78A3"/>
    <w:rsid w:val="00B10E8A"/>
    <w:rsid w:val="00B14996"/>
    <w:rsid w:val="00B204A7"/>
    <w:rsid w:val="00B32558"/>
    <w:rsid w:val="00B55AB3"/>
    <w:rsid w:val="00B5601A"/>
    <w:rsid w:val="00B61578"/>
    <w:rsid w:val="00B64278"/>
    <w:rsid w:val="00B673E6"/>
    <w:rsid w:val="00B7645B"/>
    <w:rsid w:val="00B94E9B"/>
    <w:rsid w:val="00B97814"/>
    <w:rsid w:val="00BA2730"/>
    <w:rsid w:val="00BB0F5E"/>
    <w:rsid w:val="00BB3ACB"/>
    <w:rsid w:val="00BB59F4"/>
    <w:rsid w:val="00BC2CC0"/>
    <w:rsid w:val="00BD010C"/>
    <w:rsid w:val="00BD0C94"/>
    <w:rsid w:val="00BE0DF5"/>
    <w:rsid w:val="00BE1620"/>
    <w:rsid w:val="00BE3460"/>
    <w:rsid w:val="00BE7268"/>
    <w:rsid w:val="00BF5C41"/>
    <w:rsid w:val="00C11365"/>
    <w:rsid w:val="00C120EE"/>
    <w:rsid w:val="00C14F69"/>
    <w:rsid w:val="00C16690"/>
    <w:rsid w:val="00C171E4"/>
    <w:rsid w:val="00C32AFF"/>
    <w:rsid w:val="00C3480A"/>
    <w:rsid w:val="00C4121A"/>
    <w:rsid w:val="00C474C6"/>
    <w:rsid w:val="00C52724"/>
    <w:rsid w:val="00C61005"/>
    <w:rsid w:val="00C623E6"/>
    <w:rsid w:val="00C626F4"/>
    <w:rsid w:val="00C640F7"/>
    <w:rsid w:val="00C65F9F"/>
    <w:rsid w:val="00C674B2"/>
    <w:rsid w:val="00C81077"/>
    <w:rsid w:val="00C911F1"/>
    <w:rsid w:val="00C92EDE"/>
    <w:rsid w:val="00C95BF1"/>
    <w:rsid w:val="00C9757E"/>
    <w:rsid w:val="00CA3959"/>
    <w:rsid w:val="00CA5DF8"/>
    <w:rsid w:val="00CA73B3"/>
    <w:rsid w:val="00CA7F25"/>
    <w:rsid w:val="00CB472A"/>
    <w:rsid w:val="00CB797B"/>
    <w:rsid w:val="00CB7FAF"/>
    <w:rsid w:val="00CC1D33"/>
    <w:rsid w:val="00CC551C"/>
    <w:rsid w:val="00CE530F"/>
    <w:rsid w:val="00CE7A26"/>
    <w:rsid w:val="00CF0C65"/>
    <w:rsid w:val="00D01A1C"/>
    <w:rsid w:val="00D073CC"/>
    <w:rsid w:val="00D11B25"/>
    <w:rsid w:val="00D1353D"/>
    <w:rsid w:val="00D22081"/>
    <w:rsid w:val="00D271BC"/>
    <w:rsid w:val="00D2736E"/>
    <w:rsid w:val="00D3743D"/>
    <w:rsid w:val="00D401C0"/>
    <w:rsid w:val="00D44129"/>
    <w:rsid w:val="00D47785"/>
    <w:rsid w:val="00D500A3"/>
    <w:rsid w:val="00D510AF"/>
    <w:rsid w:val="00D51A43"/>
    <w:rsid w:val="00D53C11"/>
    <w:rsid w:val="00D66160"/>
    <w:rsid w:val="00D8165F"/>
    <w:rsid w:val="00D85F00"/>
    <w:rsid w:val="00D87E79"/>
    <w:rsid w:val="00D97493"/>
    <w:rsid w:val="00DA3093"/>
    <w:rsid w:val="00DA45BB"/>
    <w:rsid w:val="00DA4BFF"/>
    <w:rsid w:val="00DB7F2A"/>
    <w:rsid w:val="00DD3EBE"/>
    <w:rsid w:val="00DD6BD1"/>
    <w:rsid w:val="00DE2D88"/>
    <w:rsid w:val="00DF26C8"/>
    <w:rsid w:val="00DF4B4F"/>
    <w:rsid w:val="00DF60A7"/>
    <w:rsid w:val="00E00495"/>
    <w:rsid w:val="00E02652"/>
    <w:rsid w:val="00E03E93"/>
    <w:rsid w:val="00E04BA8"/>
    <w:rsid w:val="00E055AB"/>
    <w:rsid w:val="00E13B53"/>
    <w:rsid w:val="00E162BE"/>
    <w:rsid w:val="00E22EE1"/>
    <w:rsid w:val="00E237A3"/>
    <w:rsid w:val="00E30229"/>
    <w:rsid w:val="00E36EC5"/>
    <w:rsid w:val="00E4431F"/>
    <w:rsid w:val="00E505EB"/>
    <w:rsid w:val="00E70627"/>
    <w:rsid w:val="00E7174A"/>
    <w:rsid w:val="00E72E18"/>
    <w:rsid w:val="00E77DBA"/>
    <w:rsid w:val="00E841F2"/>
    <w:rsid w:val="00E84CAA"/>
    <w:rsid w:val="00E90A5C"/>
    <w:rsid w:val="00E92B57"/>
    <w:rsid w:val="00E968E9"/>
    <w:rsid w:val="00EA0116"/>
    <w:rsid w:val="00EA39B3"/>
    <w:rsid w:val="00EA4B54"/>
    <w:rsid w:val="00EA753B"/>
    <w:rsid w:val="00EB3837"/>
    <w:rsid w:val="00EB5038"/>
    <w:rsid w:val="00EC0B53"/>
    <w:rsid w:val="00EC3ADE"/>
    <w:rsid w:val="00EC71E7"/>
    <w:rsid w:val="00ED508F"/>
    <w:rsid w:val="00ED626F"/>
    <w:rsid w:val="00EE4132"/>
    <w:rsid w:val="00EF1F38"/>
    <w:rsid w:val="00F02A03"/>
    <w:rsid w:val="00F15BC4"/>
    <w:rsid w:val="00F255AC"/>
    <w:rsid w:val="00F27EC8"/>
    <w:rsid w:val="00F351C5"/>
    <w:rsid w:val="00F35805"/>
    <w:rsid w:val="00F35D99"/>
    <w:rsid w:val="00F42082"/>
    <w:rsid w:val="00F53F6E"/>
    <w:rsid w:val="00F56810"/>
    <w:rsid w:val="00F72730"/>
    <w:rsid w:val="00F83971"/>
    <w:rsid w:val="00F847C3"/>
    <w:rsid w:val="00F85F51"/>
    <w:rsid w:val="00F95D73"/>
    <w:rsid w:val="00F97CB6"/>
    <w:rsid w:val="00FA1E2A"/>
    <w:rsid w:val="00FB11A9"/>
    <w:rsid w:val="00FB2D4A"/>
    <w:rsid w:val="00FB5852"/>
    <w:rsid w:val="00FB58B1"/>
    <w:rsid w:val="00FD3A6B"/>
    <w:rsid w:val="00FE2879"/>
    <w:rsid w:val="00FE3695"/>
    <w:rsid w:val="00FE4FCD"/>
    <w:rsid w:val="00FF01E9"/>
    <w:rsid w:val="00FF5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BE0745"/>
  <w15:chartTrackingRefBased/>
  <w15:docId w15:val="{B883EBA1-28E6-4A99-AD14-1CE64EC2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067"/>
    <w:rPr>
      <w:rFonts w:ascii="Arial" w:hAnsi="Arial"/>
      <w:sz w:val="24"/>
      <w:szCs w:val="24"/>
      <w:lang w:eastAsia="en-US"/>
    </w:rPr>
  </w:style>
  <w:style w:type="paragraph" w:styleId="Heading1">
    <w:name w:val="heading 1"/>
    <w:basedOn w:val="Normal"/>
    <w:next w:val="Normal"/>
    <w:qFormat/>
    <w:pPr>
      <w:keepNext/>
      <w:outlineLvl w:val="0"/>
    </w:pPr>
    <w:rPr>
      <w:rFonts w:cs="Arial"/>
      <w:b/>
      <w:bCs/>
      <w:kern w:val="32"/>
      <w:sz w:val="26"/>
      <w:szCs w:val="32"/>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pPr>
      <w:keepNext/>
      <w:outlineLvl w:val="2"/>
    </w:pPr>
    <w:rPr>
      <w:rFonts w:cs="Arial"/>
      <w:bCs/>
      <w:i/>
      <w:szCs w:val="26"/>
    </w:rPr>
  </w:style>
  <w:style w:type="paragraph" w:styleId="Heading4">
    <w:name w:val="heading 4"/>
    <w:basedOn w:val="Normal"/>
    <w:next w:val="Normal"/>
    <w:qFormat/>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3"/>
    </w:rPr>
  </w:style>
  <w:style w:type="paragraph" w:customStyle="1" w:styleId="ReportTitle">
    <w:name w:val="Report Title"/>
    <w:basedOn w:val="Normal"/>
    <w:autoRedefine/>
    <w:rsid w:val="00415463"/>
    <w:rPr>
      <w:rFonts w:ascii="Atkinson Hyperlegible" w:hAnsi="Atkinson Hyperlegible" w:cs="Arial"/>
      <w:b/>
      <w:bCs/>
      <w:sz w:val="28"/>
      <w:szCs w:val="28"/>
    </w:rPr>
  </w:style>
  <w:style w:type="paragraph" w:styleId="Footer">
    <w:name w:val="footer"/>
    <w:basedOn w:val="Normal"/>
    <w:pPr>
      <w:tabs>
        <w:tab w:val="center" w:pos="4320"/>
        <w:tab w:val="right" w:pos="8640"/>
      </w:tabs>
    </w:pPr>
    <w:rPr>
      <w:sz w:val="23"/>
    </w:rPr>
  </w:style>
  <w:style w:type="character" w:styleId="PageNumber">
    <w:name w:val="page number"/>
    <w:rPr>
      <w:rFonts w:ascii="Arial" w:hAnsi="Arial"/>
      <w:color w:val="auto"/>
      <w:sz w:val="20"/>
    </w:rPr>
  </w:style>
  <w:style w:type="paragraph" w:styleId="TOC1">
    <w:name w:val="toc 1"/>
    <w:basedOn w:val="Normal"/>
    <w:next w:val="Normal"/>
    <w:autoRedefine/>
    <w:semiHidden/>
  </w:style>
  <w:style w:type="paragraph" w:styleId="TOC2">
    <w:name w:val="toc 2"/>
    <w:basedOn w:val="Normal"/>
    <w:next w:val="Normal"/>
    <w:autoRedefine/>
    <w:semiHidden/>
    <w:pPr>
      <w:ind w:left="230"/>
    </w:pPr>
  </w:style>
  <w:style w:type="paragraph" w:styleId="TOC3">
    <w:name w:val="toc 3"/>
    <w:basedOn w:val="Normal"/>
    <w:next w:val="Normal"/>
    <w:autoRedefine/>
    <w:semiHidden/>
    <w:pPr>
      <w:ind w:left="460"/>
    </w:pPr>
  </w:style>
  <w:style w:type="paragraph" w:styleId="TOC4">
    <w:name w:val="toc 4"/>
    <w:basedOn w:val="Normal"/>
    <w:next w:val="Normal"/>
    <w:autoRedefine/>
    <w:semiHidden/>
    <w:pPr>
      <w:ind w:left="690"/>
    </w:p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character" w:styleId="Hyperlink">
    <w:name w:val="Hyperlink"/>
    <w:rPr>
      <w:color w:val="0000FF"/>
      <w:u w:val="single"/>
    </w:rPr>
  </w:style>
  <w:style w:type="paragraph" w:styleId="BodyText">
    <w:name w:val="Body Text"/>
    <w:basedOn w:val="Normal"/>
  </w:style>
  <w:style w:type="paragraph" w:customStyle="1" w:styleId="ReportHead1">
    <w:name w:val="Report Head 1"/>
    <w:basedOn w:val="Heading1"/>
    <w:pPr>
      <w:numPr>
        <w:numId w:val="1"/>
      </w:numPr>
    </w:pPr>
  </w:style>
  <w:style w:type="paragraph" w:customStyle="1" w:styleId="ReportHead2">
    <w:name w:val="Report Head 2"/>
    <w:basedOn w:val="Heading2"/>
    <w:pPr>
      <w:numPr>
        <w:ilvl w:val="1"/>
        <w:numId w:val="1"/>
      </w:numPr>
      <w:ind w:left="357"/>
    </w:pPr>
  </w:style>
  <w:style w:type="table" w:styleId="TableGrid">
    <w:name w:val="Table Grid"/>
    <w:basedOn w:val="TableNormal"/>
    <w:rsid w:val="00D2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C41"/>
    <w:pPr>
      <w:ind w:left="720"/>
    </w:pPr>
    <w:rPr>
      <w:rFonts w:ascii="Calibri" w:eastAsiaTheme="minorHAnsi" w:hAnsi="Calibri" w:cs="Calibri"/>
      <w:sz w:val="22"/>
      <w:szCs w:val="22"/>
    </w:rPr>
  </w:style>
  <w:style w:type="character" w:customStyle="1" w:styleId="ui-provider">
    <w:name w:val="ui-provider"/>
    <w:basedOn w:val="DefaultParagraphFont"/>
    <w:rsid w:val="00A07DC3"/>
  </w:style>
  <w:style w:type="character" w:styleId="UnresolvedMention">
    <w:name w:val="Unresolved Mention"/>
    <w:basedOn w:val="DefaultParagraphFont"/>
    <w:uiPriority w:val="99"/>
    <w:semiHidden/>
    <w:unhideWhenUsed/>
    <w:rsid w:val="001B4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12259">
      <w:bodyDiv w:val="1"/>
      <w:marLeft w:val="0"/>
      <w:marRight w:val="0"/>
      <w:marTop w:val="0"/>
      <w:marBottom w:val="0"/>
      <w:divBdr>
        <w:top w:val="none" w:sz="0" w:space="0" w:color="auto"/>
        <w:left w:val="none" w:sz="0" w:space="0" w:color="auto"/>
        <w:bottom w:val="none" w:sz="0" w:space="0" w:color="auto"/>
        <w:right w:val="none" w:sz="0" w:space="0" w:color="auto"/>
      </w:divBdr>
    </w:div>
    <w:div w:id="1038361076">
      <w:bodyDiv w:val="1"/>
      <w:marLeft w:val="0"/>
      <w:marRight w:val="0"/>
      <w:marTop w:val="0"/>
      <w:marBottom w:val="0"/>
      <w:divBdr>
        <w:top w:val="none" w:sz="0" w:space="0" w:color="auto"/>
        <w:left w:val="none" w:sz="0" w:space="0" w:color="auto"/>
        <w:bottom w:val="none" w:sz="0" w:space="0" w:color="auto"/>
        <w:right w:val="none" w:sz="0" w:space="0" w:color="auto"/>
      </w:divBdr>
    </w:div>
    <w:div w:id="20094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gela.King@Somerset.gov.uk" TargetMode="External"/><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pp.powerbi.com/MobileRedirect.html?action=OpenReport&amp;groupObjectId=e34313d3-b506-42f9-a58f-f11ab1e5d73f&amp;reportObjectId=28fabc34-700a-4f5b-a79c-2a5e8daa5deb&amp;ctid=b524f606-f77a-4aa2-8da2-fe70343b0cce&amp;reportPage=ReportSection5fab35d899698dd09666&amp;pbi_source=copyvisualimag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package" Target="embeddings/Microsoft_Excel_Worksheet.xls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Jackson\AppData\Local\Microsoft\Windows\INetCache\Content.Outlook\9W5WHAWB\Scrutiny%20Report%20Template%20SC%2020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b6b569b-509a-467d-b105-d97728d3fc11" ContentTypeId="0x0101" PreviousValue="false"/>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DF0084D2619E45897D916366586DC2" ma:contentTypeVersion="18" ma:contentTypeDescription="Create a new document." ma:contentTypeScope="" ma:versionID="4a9822ebeea245ea7125ddaba1c1fa37">
  <xsd:schema xmlns:xsd="http://www.w3.org/2001/XMLSchema" xmlns:xs="http://www.w3.org/2001/XMLSchema" xmlns:p="http://schemas.microsoft.com/office/2006/metadata/properties" xmlns:ns2="53e61792-80e9-49b3-ac7d-ef962a816aae" xmlns:ns3="7dc008a5-5ed2-4e05-8ecd-f2383eab7cb2" xmlns:ns4="3e24bc36-2db9-4dd4-83ef-e2c9c598d6d6" targetNamespace="http://schemas.microsoft.com/office/2006/metadata/properties" ma:root="true" ma:fieldsID="e1b08b6edd46f2b6b92d013ed5311900" ns2:_="" ns3:_="" ns4:_="">
    <xsd:import namespace="53e61792-80e9-49b3-ac7d-ef962a816aae"/>
    <xsd:import namespace="7dc008a5-5ed2-4e05-8ecd-f2383eab7cb2"/>
    <xsd:import namespace="3e24bc36-2db9-4dd4-83ef-e2c9c598d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61792-80e9-49b3-ac7d-ef962a816a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008a5-5ed2-4e05-8ecd-f2383eab7cb2"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24bc36-2db9-4dd4-83ef-e2c9c598d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af78cc-2973-4a23-bd92-945edf927c43}" ma:internalName="TaxCatchAll" ma:showField="CatchAllData" ma:web="3e24bc36-2db9-4dd4-83ef-e2c9c598d6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aredWithUsers xmlns="7dc008a5-5ed2-4e05-8ecd-f2383eab7cb2">
      <UserInfo>
        <DisplayName>Fiona Abbott</DisplayName>
        <AccountId>393</AccountId>
        <AccountType/>
      </UserInfo>
      <UserInfo>
        <DisplayName>Jamie Jackson</DisplayName>
        <AccountId>18</AccountId>
        <AccountType/>
      </UserInfo>
    </SharedWithUsers>
    <lcf76f155ced4ddcb4097134ff3c332f xmlns="53e61792-80e9-49b3-ac7d-ef962a816aae">
      <Terms xmlns="http://schemas.microsoft.com/office/infopath/2007/PartnerControls"/>
    </lcf76f155ced4ddcb4097134ff3c332f>
    <TaxCatchAll xmlns="3e24bc36-2db9-4dd4-83ef-e2c9c598d6d6" xsi:nil="true"/>
  </documentManagement>
</p:properties>
</file>

<file path=customXml/itemProps1.xml><?xml version="1.0" encoding="utf-8"?>
<ds:datastoreItem xmlns:ds="http://schemas.openxmlformats.org/officeDocument/2006/customXml" ds:itemID="{D6EF71D8-F43C-492D-94AA-0B89C72657FA}">
  <ds:schemaRefs>
    <ds:schemaRef ds:uri="http://schemas.microsoft.com/sharepoint/v3/contenttype/forms"/>
  </ds:schemaRefs>
</ds:datastoreItem>
</file>

<file path=customXml/itemProps2.xml><?xml version="1.0" encoding="utf-8"?>
<ds:datastoreItem xmlns:ds="http://schemas.openxmlformats.org/officeDocument/2006/customXml" ds:itemID="{EC09D671-68A4-46E4-8DF2-B42E874F5786}">
  <ds:schemaRefs>
    <ds:schemaRef ds:uri="Microsoft.SharePoint.Taxonomy.ContentTypeSync"/>
  </ds:schemaRefs>
</ds:datastoreItem>
</file>

<file path=customXml/itemProps3.xml><?xml version="1.0" encoding="utf-8"?>
<ds:datastoreItem xmlns:ds="http://schemas.openxmlformats.org/officeDocument/2006/customXml" ds:itemID="{C7D9A100-B16E-45D0-B5D3-2B5A8AD82ECC}">
  <ds:schemaRefs>
    <ds:schemaRef ds:uri="http://schemas.microsoft.com/office/2006/metadata/longProperties"/>
  </ds:schemaRefs>
</ds:datastoreItem>
</file>

<file path=customXml/itemProps4.xml><?xml version="1.0" encoding="utf-8"?>
<ds:datastoreItem xmlns:ds="http://schemas.openxmlformats.org/officeDocument/2006/customXml" ds:itemID="{5FE44549-67B5-4D9D-AEA8-2F7535ECE60E}"/>
</file>

<file path=customXml/itemProps5.xml><?xml version="1.0" encoding="utf-8"?>
<ds:datastoreItem xmlns:ds="http://schemas.openxmlformats.org/officeDocument/2006/customXml" ds:itemID="{294771AB-A1EF-4B14-80CF-F3D0055142DF}">
  <ds:schemaRefs>
    <ds:schemaRef ds:uri="http://schemas.openxmlformats.org/officeDocument/2006/bibliography"/>
  </ds:schemaRefs>
</ds:datastoreItem>
</file>

<file path=customXml/itemProps6.xml><?xml version="1.0" encoding="utf-8"?>
<ds:datastoreItem xmlns:ds="http://schemas.openxmlformats.org/officeDocument/2006/customXml" ds:itemID="{0EB9AFF2-6950-46F4-B4EC-06EB9B57169E}"/>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Scrutiny Report Template SC 2023</Template>
  <TotalTime>15</TotalTime>
  <Pages>7</Pages>
  <Words>2076</Words>
  <Characters>11039</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Somerset County Council</vt:lpstr>
    </vt:vector>
  </TitlesOfParts>
  <Company>Somerset County Council</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County Council</dc:title>
  <dc:subject/>
  <dc:creator>Jamie Jackson</dc:creator>
  <cp:keywords/>
  <dc:description/>
  <cp:lastModifiedBy>Niki Shaw</cp:lastModifiedBy>
  <cp:revision>9</cp:revision>
  <cp:lastPrinted>2005-10-25T09:03:00Z</cp:lastPrinted>
  <dcterms:created xsi:type="dcterms:W3CDTF">2024-02-05T07:42:00Z</dcterms:created>
  <dcterms:modified xsi:type="dcterms:W3CDTF">2024-02-05T07:48:00Z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Jamie Jackson</vt:lpwstr>
  </property>
  <property fmtid="{D5CDD505-2E9C-101B-9397-08002B2CF9AE}" pid="3" name="display_urn:schemas-microsoft-com:office:office#SharedWithUsers">
    <vt:lpwstr>Fiona Abbott;Jamie Jackson</vt:lpwstr>
  </property>
  <property fmtid="{D5CDD505-2E9C-101B-9397-08002B2CF9AE}" pid="4" name="SharedWithUsers">
    <vt:lpwstr>393;#Fiona Abbott;#18;#Jamie Jackson</vt:lpwstr>
  </property>
  <property fmtid="{D5CDD505-2E9C-101B-9397-08002B2CF9AE}" pid="5" name="Archive">
    <vt:lpwstr>0</vt:lpwstr>
  </property>
  <property fmtid="{D5CDD505-2E9C-101B-9397-08002B2CF9AE}" pid="6" name="ContentTypeId">
    <vt:lpwstr>0x01010025DF0084D2619E45897D916366586DC2</vt:lpwstr>
  </property>
</Properties>
</file>