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7F71" w14:textId="5FDFB539" w:rsidR="00FE6E20" w:rsidRDefault="002C2803" w:rsidP="008F4558">
      <w:pPr>
        <w:rPr>
          <w:rFonts w:ascii="Arial" w:hAnsi="Arial" w:cs="Arial"/>
          <w:noProof/>
        </w:rPr>
      </w:pPr>
      <w:r>
        <w:rPr>
          <w:rFonts w:ascii="Arial" w:hAnsi="Arial" w:cs="Arial"/>
          <w:noProof/>
        </w:rPr>
        <w:drawing>
          <wp:anchor distT="0" distB="0" distL="114300" distR="114300" simplePos="0" relativeHeight="251658240" behindDoc="1" locked="0" layoutInCell="1" allowOverlap="1" wp14:anchorId="617569D1" wp14:editId="37B65398">
            <wp:simplePos x="0" y="0"/>
            <wp:positionH relativeFrom="margin">
              <wp:posOffset>-909166</wp:posOffset>
            </wp:positionH>
            <wp:positionV relativeFrom="page">
              <wp:posOffset>22294</wp:posOffset>
            </wp:positionV>
            <wp:extent cx="7546975" cy="10674985"/>
            <wp:effectExtent l="0" t="0" r="0" b="0"/>
            <wp:wrapSquare wrapText="bothSides"/>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6975" cy="10674985"/>
                    </a:xfrm>
                    <a:prstGeom prst="rect">
                      <a:avLst/>
                    </a:prstGeom>
                  </pic:spPr>
                </pic:pic>
              </a:graphicData>
            </a:graphic>
            <wp14:sizeRelH relativeFrom="page">
              <wp14:pctWidth>0</wp14:pctWidth>
            </wp14:sizeRelH>
            <wp14:sizeRelV relativeFrom="page">
              <wp14:pctHeight>0</wp14:pctHeight>
            </wp14:sizeRelV>
          </wp:anchor>
        </w:drawing>
      </w:r>
      <w:r w:rsidR="006A4CB3">
        <w:rPr>
          <w:noProof/>
        </w:rPr>
        <mc:AlternateContent>
          <mc:Choice Requires="wps">
            <w:drawing>
              <wp:anchor distT="45720" distB="45720" distL="114300" distR="114300" simplePos="0" relativeHeight="251658241" behindDoc="0" locked="0" layoutInCell="1" allowOverlap="1" wp14:anchorId="0E2610D3" wp14:editId="04B357FA">
                <wp:simplePos x="0" y="0"/>
                <wp:positionH relativeFrom="column">
                  <wp:posOffset>-401320</wp:posOffset>
                </wp:positionH>
                <wp:positionV relativeFrom="paragraph">
                  <wp:posOffset>1581785</wp:posOffset>
                </wp:positionV>
                <wp:extent cx="6400800" cy="1024255"/>
                <wp:effectExtent l="0" t="0" r="0" b="44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417B" w14:textId="77777777" w:rsidR="003D6628" w:rsidRPr="003D6628" w:rsidRDefault="003D6628" w:rsidP="003D6628">
                            <w:pPr>
                              <w:rPr>
                                <w:rFonts w:ascii="Arial" w:hAnsi="Arial" w:cs="Arial"/>
                                <w:b/>
                                <w:bCs/>
                                <w:color w:val="FFFFFF" w:themeColor="background1"/>
                                <w:sz w:val="96"/>
                                <w:szCs w:val="96"/>
                              </w:rPr>
                            </w:pPr>
                            <w:r w:rsidRPr="003D6628">
                              <w:rPr>
                                <w:rFonts w:ascii="Arial" w:hAnsi="Arial" w:cs="Arial"/>
                                <w:b/>
                                <w:bCs/>
                                <w:color w:val="FFFFFF" w:themeColor="background1"/>
                                <w:sz w:val="96"/>
                                <w:szCs w:val="96"/>
                              </w:rPr>
                              <w:t>The Somerset Approved Mental Health Professional (AMHP) Service</w:t>
                            </w:r>
                          </w:p>
                          <w:p w14:paraId="7819E81E" w14:textId="71EAEFB7" w:rsidR="006A4CB3" w:rsidRPr="006A4CB3" w:rsidRDefault="00976FCF" w:rsidP="00976FCF">
                            <w:pPr>
                              <w:rPr>
                                <w:rFonts w:ascii="Arial" w:hAnsi="Arial" w:cs="Arial"/>
                                <w:color w:val="FFFFFF" w:themeColor="background1"/>
                                <w:sz w:val="96"/>
                                <w:szCs w:val="96"/>
                              </w:rPr>
                            </w:pPr>
                            <w:r w:rsidRPr="00976FCF">
                              <w:rPr>
                                <w:rFonts w:ascii="Arial" w:hAnsi="Arial" w:cs="Arial"/>
                                <w:b/>
                                <w:bCs/>
                                <w:color w:val="FFFFFF" w:themeColor="background1"/>
                                <w:sz w:val="96"/>
                                <w:szCs w:val="96"/>
                              </w:rPr>
                              <w:cr/>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2610D3" id="_x0000_t202" coordsize="21600,21600" o:spt="202" path="m,l,21600r21600,l21600,xe">
                <v:stroke joinstyle="miter"/>
                <v:path gradientshapeok="t" o:connecttype="rect"/>
              </v:shapetype>
              <v:shape id="Text Box 4" o:spid="_x0000_s1026" type="#_x0000_t202" style="position:absolute;margin-left:-31.6pt;margin-top:124.55pt;width:7in;height:80.6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" filled="f" stroked="f">
                <v:textbox style="mso-fit-shape-to-text:t">
                  <w:txbxContent>
                    <w:p w14:paraId="5CFB417B" w14:textId="77777777" w:rsidR="003D6628" w:rsidRPr="003D6628" w:rsidRDefault="003D6628" w:rsidP="003D6628">
                      <w:pPr>
                        <w:rPr>
                          <w:rFonts w:ascii="Arial" w:hAnsi="Arial" w:cs="Arial"/>
                          <w:b/>
                          <w:bCs/>
                          <w:color w:val="FFFFFF" w:themeColor="background1"/>
                          <w:sz w:val="96"/>
                          <w:szCs w:val="96"/>
                        </w:rPr>
                      </w:pPr>
                      <w:r w:rsidRPr="003D6628">
                        <w:rPr>
                          <w:rFonts w:ascii="Arial" w:hAnsi="Arial" w:cs="Arial"/>
                          <w:b/>
                          <w:bCs/>
                          <w:color w:val="FFFFFF" w:themeColor="background1"/>
                          <w:sz w:val="96"/>
                          <w:szCs w:val="96"/>
                        </w:rPr>
                        <w:t>The Somerset Approved Mental Health Professional (AMHP) Service</w:t>
                      </w:r>
                    </w:p>
                    <w:p w14:paraId="7819E81E" w14:textId="71EAEFB7" w:rsidR="006A4CB3" w:rsidRPr="006A4CB3" w:rsidRDefault="00976FCF" w:rsidP="00976FCF">
                      <w:pPr>
                        <w:rPr>
                          <w:rFonts w:ascii="Arial" w:hAnsi="Arial" w:cs="Arial"/>
                          <w:color w:val="FFFFFF" w:themeColor="background1"/>
                          <w:sz w:val="96"/>
                          <w:szCs w:val="96"/>
                        </w:rPr>
                      </w:pPr>
                      <w:r w:rsidRPr="00976FCF">
                        <w:rPr>
                          <w:rFonts w:ascii="Arial" w:hAnsi="Arial" w:cs="Arial"/>
                          <w:b/>
                          <w:bCs/>
                          <w:color w:val="FFFFFF" w:themeColor="background1"/>
                          <w:sz w:val="96"/>
                          <w:szCs w:val="96"/>
                        </w:rPr>
                        <w:cr/>
                      </w:r>
                    </w:p>
                  </w:txbxContent>
                </v:textbox>
                <w10:wrap type="square"/>
              </v:shape>
            </w:pict>
          </mc:Fallback>
        </mc:AlternateContent>
      </w:r>
    </w:p>
    <w:p w14:paraId="745C9C9F" w14:textId="711884A8" w:rsidR="00D46DDB" w:rsidRPr="00D46DDB" w:rsidRDefault="004946DF" w:rsidP="00D46DDB">
      <w:pPr>
        <w:pStyle w:val="Default"/>
        <w:ind w:hanging="142"/>
        <w:rPr>
          <w:b/>
          <w:bCs/>
          <w:color w:val="008080"/>
          <w:sz w:val="36"/>
          <w:szCs w:val="36"/>
        </w:rPr>
      </w:pPr>
      <w:r>
        <w:rPr>
          <w:b/>
          <w:bCs/>
          <w:color w:val="008080"/>
          <w:sz w:val="36"/>
          <w:szCs w:val="36"/>
        </w:rPr>
        <w:lastRenderedPageBreak/>
        <w:t>1</w:t>
      </w:r>
      <w:r w:rsidR="00D46DDB" w:rsidRPr="00D46DDB">
        <w:rPr>
          <w:b/>
          <w:bCs/>
          <w:color w:val="008080"/>
          <w:sz w:val="36"/>
          <w:szCs w:val="36"/>
        </w:rPr>
        <w:t xml:space="preserve">. Context </w:t>
      </w:r>
    </w:p>
    <w:p w14:paraId="7BCBA159" w14:textId="77777777" w:rsidR="00E174BF" w:rsidRDefault="00E174BF" w:rsidP="00D46DDB">
      <w:pPr>
        <w:pStyle w:val="Default"/>
        <w:ind w:hanging="142"/>
        <w:rPr>
          <w:color w:val="auto"/>
        </w:rPr>
      </w:pPr>
    </w:p>
    <w:p w14:paraId="18C134DA" w14:textId="6885BB39" w:rsidR="004946DF" w:rsidRPr="009476E2" w:rsidRDefault="004946DF" w:rsidP="004946DF">
      <w:pPr>
        <w:pStyle w:val="Default"/>
        <w:ind w:left="142" w:hanging="142"/>
        <w:rPr>
          <w:rFonts w:ascii="Microsoft New Tai Lue" w:hAnsi="Microsoft New Tai Lue" w:cs="Microsoft New Tai Lue"/>
          <w:bCs/>
        </w:rPr>
      </w:pPr>
      <w:r w:rsidRPr="004946DF">
        <w:rPr>
          <w:rFonts w:ascii="Microsoft New Tai Lue" w:hAnsi="Microsoft New Tai Lue" w:cs="Microsoft New Tai Lue"/>
          <w:bCs/>
        </w:rPr>
        <w:t>This policy describes the arrangements for the AMHP service within</w:t>
      </w:r>
      <w:r w:rsidRPr="009476E2">
        <w:rPr>
          <w:rFonts w:ascii="Microsoft New Tai Lue" w:hAnsi="Microsoft New Tai Lue" w:cs="Microsoft New Tai Lue"/>
          <w:bCs/>
        </w:rPr>
        <w:t xml:space="preserve"> </w:t>
      </w:r>
      <w:r w:rsidRPr="004946DF">
        <w:rPr>
          <w:rFonts w:ascii="Microsoft New Tai Lue" w:hAnsi="Microsoft New Tai Lue" w:cs="Microsoft New Tai Lue"/>
          <w:bCs/>
        </w:rPr>
        <w:t>the</w:t>
      </w:r>
      <w:r w:rsidRPr="009476E2">
        <w:rPr>
          <w:rFonts w:ascii="Microsoft New Tai Lue" w:hAnsi="Microsoft New Tai Lue" w:cs="Microsoft New Tai Lue"/>
          <w:bCs/>
        </w:rPr>
        <w:t xml:space="preserve"> </w:t>
      </w:r>
      <w:proofErr w:type="gramStart"/>
      <w:r w:rsidRPr="009476E2">
        <w:rPr>
          <w:rFonts w:ascii="Microsoft New Tai Lue" w:hAnsi="Microsoft New Tai Lue" w:cs="Microsoft New Tai Lue"/>
          <w:bCs/>
        </w:rPr>
        <w:t>Somerset</w:t>
      </w:r>
      <w:proofErr w:type="gramEnd"/>
    </w:p>
    <w:p w14:paraId="61C05314" w14:textId="77777777" w:rsidR="004946DF" w:rsidRPr="009476E2" w:rsidRDefault="004946DF" w:rsidP="004946DF">
      <w:pPr>
        <w:pStyle w:val="Default"/>
        <w:ind w:left="142" w:hanging="142"/>
        <w:rPr>
          <w:rFonts w:ascii="Microsoft New Tai Lue" w:hAnsi="Microsoft New Tai Lue" w:cs="Microsoft New Tai Lue"/>
          <w:bCs/>
        </w:rPr>
      </w:pPr>
      <w:r w:rsidRPr="004946DF">
        <w:rPr>
          <w:rFonts w:ascii="Microsoft New Tai Lue" w:hAnsi="Microsoft New Tai Lue" w:cs="Microsoft New Tai Lue"/>
          <w:bCs/>
        </w:rPr>
        <w:t xml:space="preserve">area. It sets out the working arrangements for both the AMHP Hub Team and </w:t>
      </w:r>
      <w:proofErr w:type="gramStart"/>
      <w:r w:rsidRPr="004946DF">
        <w:rPr>
          <w:rFonts w:ascii="Microsoft New Tai Lue" w:hAnsi="Microsoft New Tai Lue" w:cs="Microsoft New Tai Lue"/>
          <w:bCs/>
        </w:rPr>
        <w:t>locality</w:t>
      </w:r>
      <w:proofErr w:type="gramEnd"/>
    </w:p>
    <w:p w14:paraId="43BF6C9A" w14:textId="4788AF77" w:rsidR="004946DF" w:rsidRPr="004946DF" w:rsidRDefault="004946DF" w:rsidP="004946DF">
      <w:pPr>
        <w:pStyle w:val="Default"/>
        <w:ind w:left="142" w:hanging="142"/>
        <w:rPr>
          <w:rFonts w:ascii="Microsoft New Tai Lue" w:hAnsi="Microsoft New Tai Lue" w:cs="Microsoft New Tai Lue"/>
          <w:bCs/>
        </w:rPr>
      </w:pPr>
      <w:r w:rsidRPr="004946DF">
        <w:rPr>
          <w:rFonts w:ascii="Microsoft New Tai Lue" w:hAnsi="Microsoft New Tai Lue" w:cs="Microsoft New Tai Lue"/>
          <w:bCs/>
        </w:rPr>
        <w:t>AMHP rotas.</w:t>
      </w:r>
    </w:p>
    <w:p w14:paraId="70636A28" w14:textId="77777777" w:rsidR="00E174BF" w:rsidRDefault="00E174BF" w:rsidP="005A2BF2">
      <w:pPr>
        <w:pStyle w:val="Default"/>
        <w:ind w:hanging="142"/>
        <w:jc w:val="both"/>
        <w:rPr>
          <w:b/>
          <w:bCs/>
          <w:color w:val="008080"/>
          <w:sz w:val="36"/>
          <w:szCs w:val="36"/>
        </w:rPr>
      </w:pPr>
    </w:p>
    <w:p w14:paraId="00A46B9E" w14:textId="4BCDA84D" w:rsidR="00D46DDB" w:rsidRDefault="004946DF" w:rsidP="00D46DDB">
      <w:pPr>
        <w:pStyle w:val="Default"/>
        <w:ind w:hanging="142"/>
        <w:rPr>
          <w:b/>
          <w:bCs/>
          <w:iCs/>
          <w:color w:val="008080"/>
          <w:sz w:val="36"/>
          <w:szCs w:val="36"/>
        </w:rPr>
      </w:pPr>
      <w:r>
        <w:rPr>
          <w:b/>
          <w:bCs/>
          <w:color w:val="008080"/>
          <w:sz w:val="36"/>
          <w:szCs w:val="36"/>
        </w:rPr>
        <w:t>2</w:t>
      </w:r>
      <w:r w:rsidR="00D46DDB" w:rsidRPr="00D46DDB">
        <w:rPr>
          <w:b/>
          <w:bCs/>
          <w:color w:val="008080"/>
          <w:sz w:val="36"/>
          <w:szCs w:val="36"/>
        </w:rPr>
        <w:t xml:space="preserve">. </w:t>
      </w:r>
      <w:r w:rsidR="008F0A45" w:rsidRPr="008F0A45">
        <w:rPr>
          <w:b/>
          <w:bCs/>
          <w:iCs/>
          <w:color w:val="008080"/>
          <w:sz w:val="36"/>
          <w:szCs w:val="36"/>
        </w:rPr>
        <w:t>Overall purpose of service</w:t>
      </w:r>
    </w:p>
    <w:p w14:paraId="64DAD963" w14:textId="77777777" w:rsidR="009476E2" w:rsidRPr="009476E2" w:rsidRDefault="009476E2" w:rsidP="009476E2">
      <w:pPr>
        <w:spacing w:beforeLines="60" w:before="144" w:afterLines="60" w:after="144" w:line="240" w:lineRule="auto"/>
        <w:rPr>
          <w:rFonts w:ascii="Microsoft New Tai Lue" w:eastAsia="Times New Roman" w:hAnsi="Microsoft New Tai Lue" w:cs="Microsoft New Tai Lue"/>
          <w:bCs/>
          <w:i/>
          <w:iCs/>
          <w:sz w:val="24"/>
          <w:szCs w:val="24"/>
        </w:rPr>
      </w:pPr>
      <w:r w:rsidRPr="009476E2">
        <w:rPr>
          <w:rFonts w:ascii="Microsoft New Tai Lue" w:eastAsia="Times New Roman" w:hAnsi="Microsoft New Tai Lue" w:cs="Microsoft New Tai Lue"/>
          <w:bCs/>
          <w:i/>
          <w:iCs/>
          <w:sz w:val="24"/>
          <w:szCs w:val="24"/>
        </w:rPr>
        <w:t>The term “patient” is used here as it reflects the legal definition of those service users who are subject to consideration under the MHA, regardless of whether they are detained or not.</w:t>
      </w:r>
    </w:p>
    <w:p w14:paraId="3AD28FAB" w14:textId="77777777" w:rsidR="009476E2" w:rsidRPr="009476E2" w:rsidRDefault="009476E2" w:rsidP="009476E2">
      <w:pPr>
        <w:spacing w:beforeLines="60" w:before="144" w:afterLines="60" w:after="144" w:line="240" w:lineRule="auto"/>
        <w:rPr>
          <w:rFonts w:ascii="Microsoft New Tai Lue" w:eastAsia="Times New Roman" w:hAnsi="Microsoft New Tai Lue" w:cs="Microsoft New Tai Lue"/>
          <w:bCs/>
          <w:i/>
          <w:iCs/>
          <w:sz w:val="24"/>
          <w:szCs w:val="24"/>
        </w:rPr>
      </w:pPr>
      <w:r w:rsidRPr="009476E2">
        <w:rPr>
          <w:rFonts w:ascii="Microsoft New Tai Lue" w:eastAsia="Times New Roman" w:hAnsi="Microsoft New Tai Lue" w:cs="Microsoft New Tai Lue"/>
          <w:bCs/>
          <w:i/>
          <w:iCs/>
          <w:sz w:val="24"/>
          <w:szCs w:val="24"/>
        </w:rPr>
        <w:t>All sections referred to in this document relate to the Mental Health Act 1983.</w:t>
      </w:r>
    </w:p>
    <w:p w14:paraId="3ADE71C2" w14:textId="77777777" w:rsidR="009476E2" w:rsidRPr="009476E2" w:rsidRDefault="009476E2" w:rsidP="009476E2">
      <w:pPr>
        <w:spacing w:beforeLines="60" w:before="144" w:afterLines="60" w:after="144" w:line="240" w:lineRule="auto"/>
        <w:rPr>
          <w:rFonts w:ascii="Microsoft New Tai Lue" w:eastAsia="Times New Roman" w:hAnsi="Microsoft New Tai Lue" w:cs="Microsoft New Tai Lue"/>
          <w:bCs/>
          <w:iCs/>
          <w:sz w:val="24"/>
          <w:szCs w:val="24"/>
        </w:rPr>
      </w:pPr>
      <w:r w:rsidRPr="009476E2">
        <w:rPr>
          <w:rFonts w:ascii="Microsoft New Tai Lue" w:eastAsia="Times New Roman" w:hAnsi="Microsoft New Tai Lue" w:cs="Microsoft New Tai Lue"/>
          <w:bCs/>
          <w:iCs/>
          <w:sz w:val="24"/>
          <w:szCs w:val="24"/>
        </w:rPr>
        <w:t xml:space="preserve">The Somerset AMHP Service responds to requests for Mental Health Act assessments (“MHAAs”) in the county of Somerset 24 hours a day 7 days a week. In addition, the service considers requests for Guardianship (s.7) and Community Treatment Orders (“CTOs”) (s.17A); and requests from Nearest Relatives seeking MHAAs, while providing advice and support to all agencies and professionals on matters relating to use of the Mental Health Act 1983 (“MHA”) and associated legislation. </w:t>
      </w:r>
    </w:p>
    <w:p w14:paraId="02BEE2C4" w14:textId="77777777" w:rsidR="009476E2" w:rsidRPr="009476E2" w:rsidRDefault="009476E2" w:rsidP="009476E2">
      <w:pPr>
        <w:spacing w:beforeLines="60" w:before="144" w:afterLines="60" w:after="144" w:line="240" w:lineRule="auto"/>
        <w:rPr>
          <w:rFonts w:ascii="Microsoft New Tai Lue" w:eastAsia="Times New Roman" w:hAnsi="Microsoft New Tai Lue" w:cs="Microsoft New Tai Lue"/>
          <w:bCs/>
          <w:iCs/>
          <w:sz w:val="24"/>
          <w:szCs w:val="24"/>
        </w:rPr>
      </w:pPr>
      <w:r w:rsidRPr="009476E2">
        <w:rPr>
          <w:rFonts w:ascii="Microsoft New Tai Lue" w:eastAsia="Times New Roman" w:hAnsi="Microsoft New Tai Lue" w:cs="Microsoft New Tai Lue"/>
          <w:bCs/>
          <w:iCs/>
          <w:sz w:val="24"/>
          <w:szCs w:val="24"/>
        </w:rPr>
        <w:t>The Somerset AMHP Service seeks to promote a safe and timely response to requests for intervention, while practicing in a manner consistent with the articles of the European Convention on Human Rights; the principles of the MHA 1983 and Mental Capacity Act 2005; the Equality Act 2010; the Children Act 1989 and the Care Act 2014.</w:t>
      </w:r>
    </w:p>
    <w:p w14:paraId="700E3106" w14:textId="64D2A029" w:rsidR="009476E2" w:rsidRPr="009476E2" w:rsidRDefault="009476E2" w:rsidP="009476E2">
      <w:pPr>
        <w:spacing w:beforeLines="60" w:before="144" w:afterLines="60" w:after="144" w:line="240" w:lineRule="auto"/>
        <w:rPr>
          <w:rFonts w:ascii="Microsoft New Tai Lue" w:eastAsia="Times New Roman" w:hAnsi="Microsoft New Tai Lue" w:cs="Microsoft New Tai Lue"/>
          <w:bCs/>
          <w:iCs/>
          <w:sz w:val="24"/>
          <w:szCs w:val="24"/>
        </w:rPr>
      </w:pPr>
      <w:r w:rsidRPr="009476E2">
        <w:rPr>
          <w:rFonts w:ascii="Microsoft New Tai Lue" w:eastAsia="Times New Roman" w:hAnsi="Microsoft New Tai Lue" w:cs="Microsoft New Tai Lue"/>
          <w:bCs/>
          <w:iCs/>
          <w:sz w:val="24"/>
          <w:szCs w:val="24"/>
        </w:rPr>
        <w:t>The Somerset AMHP Service operates within a hub based in Taunton which is staffed by AMHPs, an AMHP professional lead, an AMHP manager and assisted by an adult social care practitioner and business support. The AMHP hub works in conjunction with locality AMHPs who are based within Mental Health community teams who provide support to the hub rota at least 3 shifts per month. The AMHP hub is responsible for the monitoring of AMHP work across the county; incorporating a monitoring and ‘hand-over’ function for AMHP work carried out by Somerset Counci</w:t>
      </w:r>
      <w:r w:rsidR="008F4102">
        <w:rPr>
          <w:rFonts w:ascii="Microsoft New Tai Lue" w:eastAsia="Times New Roman" w:hAnsi="Microsoft New Tai Lue" w:cs="Microsoft New Tai Lue"/>
          <w:bCs/>
          <w:iCs/>
          <w:sz w:val="24"/>
          <w:szCs w:val="24"/>
        </w:rPr>
        <w:t>l</w:t>
      </w:r>
      <w:r w:rsidRPr="009476E2">
        <w:rPr>
          <w:rFonts w:ascii="Microsoft New Tai Lue" w:eastAsia="Times New Roman" w:hAnsi="Microsoft New Tai Lue" w:cs="Microsoft New Tai Lue"/>
          <w:bCs/>
          <w:iCs/>
          <w:sz w:val="24"/>
          <w:szCs w:val="24"/>
        </w:rPr>
        <w:t xml:space="preserve"> on </w:t>
      </w:r>
      <w:proofErr w:type="gramStart"/>
      <w:r w:rsidRPr="009476E2">
        <w:rPr>
          <w:rFonts w:ascii="Microsoft New Tai Lue" w:eastAsia="Times New Roman" w:hAnsi="Microsoft New Tai Lue" w:cs="Microsoft New Tai Lue"/>
          <w:bCs/>
          <w:iCs/>
          <w:sz w:val="24"/>
          <w:szCs w:val="24"/>
        </w:rPr>
        <w:t>a 24 hours</w:t>
      </w:r>
      <w:proofErr w:type="gramEnd"/>
      <w:r w:rsidRPr="009476E2">
        <w:rPr>
          <w:rFonts w:ascii="Microsoft New Tai Lue" w:eastAsia="Times New Roman" w:hAnsi="Microsoft New Tai Lue" w:cs="Microsoft New Tai Lue"/>
          <w:bCs/>
          <w:iCs/>
          <w:sz w:val="24"/>
          <w:szCs w:val="24"/>
        </w:rPr>
        <w:t>, 7 days a week, 365 days a year basis.</w:t>
      </w:r>
    </w:p>
    <w:p w14:paraId="6B7B9962" w14:textId="77777777" w:rsidR="009476E2" w:rsidRPr="009476E2" w:rsidRDefault="009476E2" w:rsidP="009476E2">
      <w:pPr>
        <w:spacing w:beforeLines="60" w:before="144" w:afterLines="60" w:after="144" w:line="240" w:lineRule="auto"/>
        <w:rPr>
          <w:rFonts w:ascii="Microsoft New Tai Lue" w:eastAsia="Times New Roman" w:hAnsi="Microsoft New Tai Lue" w:cs="Microsoft New Tai Lue"/>
          <w:bCs/>
          <w:iCs/>
          <w:sz w:val="24"/>
          <w:szCs w:val="24"/>
        </w:rPr>
      </w:pPr>
      <w:r w:rsidRPr="009476E2">
        <w:rPr>
          <w:rFonts w:ascii="Microsoft New Tai Lue" w:eastAsia="Times New Roman" w:hAnsi="Microsoft New Tai Lue" w:cs="Microsoft New Tai Lue"/>
          <w:bCs/>
          <w:iCs/>
          <w:sz w:val="24"/>
          <w:szCs w:val="24"/>
        </w:rPr>
        <w:t xml:space="preserve">The AMHP hub will support and manage allocation of AMHPs for CTO work, additionally it will support the allocation of AMHPs to patients being considered for, or subject to, Guardianship and Community Treatment Orders. </w:t>
      </w:r>
    </w:p>
    <w:p w14:paraId="7FB82C39" w14:textId="77777777" w:rsidR="009476E2" w:rsidRPr="009476E2" w:rsidRDefault="009476E2" w:rsidP="009476E2">
      <w:pPr>
        <w:spacing w:beforeLines="60" w:before="144" w:afterLines="60" w:after="144" w:line="240" w:lineRule="auto"/>
        <w:rPr>
          <w:rFonts w:ascii="Microsoft New Tai Lue" w:eastAsia="Times New Roman" w:hAnsi="Microsoft New Tai Lue" w:cs="Microsoft New Tai Lue"/>
          <w:bCs/>
          <w:iCs/>
          <w:sz w:val="24"/>
          <w:szCs w:val="24"/>
        </w:rPr>
      </w:pPr>
      <w:r w:rsidRPr="009476E2">
        <w:rPr>
          <w:rFonts w:ascii="Microsoft New Tai Lue" w:eastAsia="Times New Roman" w:hAnsi="Microsoft New Tai Lue" w:cs="Microsoft New Tai Lue"/>
          <w:bCs/>
          <w:iCs/>
          <w:sz w:val="24"/>
          <w:szCs w:val="24"/>
        </w:rPr>
        <w:t>The AMHP hub contributes to the existing peer support structures for AMHPs across the county. It liaises directly with Somerset Council’s Deprivation of Liberty (</w:t>
      </w:r>
      <w:proofErr w:type="spellStart"/>
      <w:r w:rsidRPr="009476E2">
        <w:rPr>
          <w:rFonts w:ascii="Microsoft New Tai Lue" w:eastAsia="Times New Roman" w:hAnsi="Microsoft New Tai Lue" w:cs="Microsoft New Tai Lue"/>
          <w:bCs/>
          <w:iCs/>
          <w:sz w:val="24"/>
          <w:szCs w:val="24"/>
        </w:rPr>
        <w:t>DoLs</w:t>
      </w:r>
      <w:proofErr w:type="spellEnd"/>
      <w:r w:rsidRPr="009476E2">
        <w:rPr>
          <w:rFonts w:ascii="Microsoft New Tai Lue" w:eastAsia="Times New Roman" w:hAnsi="Microsoft New Tai Lue" w:cs="Microsoft New Tai Lue"/>
          <w:bCs/>
          <w:iCs/>
          <w:sz w:val="24"/>
          <w:szCs w:val="24"/>
        </w:rPr>
        <w:t>), Safeguarding and other external agencies, such as the police and ambulance services.</w:t>
      </w:r>
    </w:p>
    <w:p w14:paraId="7B1D6302" w14:textId="77777777" w:rsidR="0048555C" w:rsidRDefault="009476E2" w:rsidP="009476E2">
      <w:pPr>
        <w:pStyle w:val="Default"/>
        <w:ind w:hanging="142"/>
        <w:rPr>
          <w:rFonts w:ascii="Microsoft New Tai Lue" w:hAnsi="Microsoft New Tai Lue" w:cs="Microsoft New Tai Lue"/>
          <w:bCs/>
          <w:iCs/>
          <w:color w:val="auto"/>
          <w:lang w:eastAsia="en-US"/>
        </w:rPr>
      </w:pPr>
      <w:r w:rsidRPr="009476E2">
        <w:rPr>
          <w:rFonts w:ascii="Microsoft New Tai Lue" w:hAnsi="Microsoft New Tai Lue" w:cs="Microsoft New Tai Lue"/>
          <w:bCs/>
          <w:iCs/>
          <w:color w:val="auto"/>
          <w:lang w:eastAsia="en-US"/>
        </w:rPr>
        <w:lastRenderedPageBreak/>
        <w:t>The work of AMHPs and the Somerset AMHP Service is consistent with a “</w:t>
      </w:r>
      <w:proofErr w:type="gramStart"/>
      <w:r w:rsidRPr="009476E2">
        <w:rPr>
          <w:rFonts w:ascii="Microsoft New Tai Lue" w:hAnsi="Microsoft New Tai Lue" w:cs="Microsoft New Tai Lue"/>
          <w:bCs/>
          <w:iCs/>
          <w:color w:val="auto"/>
          <w:lang w:eastAsia="en-US"/>
        </w:rPr>
        <w:t>recovery</w:t>
      </w:r>
      <w:proofErr w:type="gramEnd"/>
    </w:p>
    <w:p w14:paraId="4C2D4D6A" w14:textId="77777777" w:rsidR="0048555C" w:rsidRDefault="009476E2" w:rsidP="009476E2">
      <w:pPr>
        <w:pStyle w:val="Default"/>
        <w:ind w:hanging="142"/>
        <w:rPr>
          <w:rFonts w:ascii="Microsoft New Tai Lue" w:hAnsi="Microsoft New Tai Lue" w:cs="Microsoft New Tai Lue"/>
          <w:bCs/>
          <w:iCs/>
          <w:color w:val="auto"/>
          <w:lang w:eastAsia="en-US"/>
        </w:rPr>
      </w:pPr>
      <w:r w:rsidRPr="009476E2">
        <w:rPr>
          <w:rFonts w:ascii="Microsoft New Tai Lue" w:hAnsi="Microsoft New Tai Lue" w:cs="Microsoft New Tai Lue"/>
          <w:bCs/>
          <w:iCs/>
          <w:color w:val="auto"/>
          <w:lang w:eastAsia="en-US"/>
        </w:rPr>
        <w:t xml:space="preserve">model” of mental health and seeks to secure the “least restrictive option” for </w:t>
      </w:r>
      <w:proofErr w:type="gramStart"/>
      <w:r w:rsidRPr="009476E2">
        <w:rPr>
          <w:rFonts w:ascii="Microsoft New Tai Lue" w:hAnsi="Microsoft New Tai Lue" w:cs="Microsoft New Tai Lue"/>
          <w:bCs/>
          <w:iCs/>
          <w:color w:val="auto"/>
          <w:lang w:eastAsia="en-US"/>
        </w:rPr>
        <w:t>patients</w:t>
      </w:r>
      <w:proofErr w:type="gramEnd"/>
    </w:p>
    <w:p w14:paraId="68A21BE0" w14:textId="057A9EDE" w:rsidR="008F0A45" w:rsidRPr="009476E2" w:rsidRDefault="009476E2" w:rsidP="009476E2">
      <w:pPr>
        <w:pStyle w:val="Default"/>
        <w:ind w:hanging="142"/>
        <w:rPr>
          <w:b/>
          <w:bCs/>
          <w:color w:val="008080"/>
          <w:sz w:val="36"/>
          <w:szCs w:val="36"/>
        </w:rPr>
      </w:pPr>
      <w:r w:rsidRPr="009476E2">
        <w:rPr>
          <w:rFonts w:ascii="Microsoft New Tai Lue" w:hAnsi="Microsoft New Tai Lue" w:cs="Microsoft New Tai Lue"/>
          <w:bCs/>
          <w:iCs/>
          <w:color w:val="auto"/>
          <w:lang w:eastAsia="en-US"/>
        </w:rPr>
        <w:t>and to promote the patient’s autonomy and their fundamental human rights.</w:t>
      </w:r>
    </w:p>
    <w:p w14:paraId="21DB4B20" w14:textId="77777777" w:rsidR="008F0A45" w:rsidRDefault="008F0A45" w:rsidP="00D46DDB">
      <w:pPr>
        <w:pStyle w:val="Default"/>
        <w:ind w:hanging="142"/>
        <w:rPr>
          <w:color w:val="auto"/>
        </w:rPr>
      </w:pPr>
    </w:p>
    <w:p w14:paraId="7B42AC8F" w14:textId="77777777" w:rsidR="008F0A45" w:rsidRPr="00E623BD" w:rsidRDefault="008F0A45" w:rsidP="00D46DDB">
      <w:pPr>
        <w:pStyle w:val="Default"/>
        <w:ind w:hanging="142"/>
        <w:rPr>
          <w:color w:val="auto"/>
        </w:rPr>
      </w:pPr>
    </w:p>
    <w:p w14:paraId="63BB7DB1" w14:textId="128E00DE" w:rsidR="00D46DDB" w:rsidRDefault="0048555C" w:rsidP="00D46DDB">
      <w:pPr>
        <w:pStyle w:val="Default"/>
        <w:ind w:hanging="142"/>
        <w:rPr>
          <w:b/>
          <w:bCs/>
          <w:i/>
          <w:color w:val="008080"/>
          <w:sz w:val="36"/>
          <w:szCs w:val="36"/>
        </w:rPr>
      </w:pPr>
      <w:r>
        <w:rPr>
          <w:b/>
          <w:bCs/>
          <w:color w:val="008080"/>
          <w:sz w:val="36"/>
          <w:szCs w:val="36"/>
        </w:rPr>
        <w:t>3</w:t>
      </w:r>
      <w:r w:rsidR="00D46DDB" w:rsidRPr="00D46DDB">
        <w:rPr>
          <w:b/>
          <w:bCs/>
          <w:color w:val="008080"/>
          <w:sz w:val="36"/>
          <w:szCs w:val="36"/>
        </w:rPr>
        <w:t xml:space="preserve">. </w:t>
      </w:r>
      <w:r w:rsidR="001D0485" w:rsidRPr="00BD2620">
        <w:rPr>
          <w:b/>
          <w:bCs/>
          <w:iCs/>
          <w:color w:val="008080"/>
          <w:sz w:val="36"/>
          <w:szCs w:val="36"/>
        </w:rPr>
        <w:t>Referral criteria.</w:t>
      </w:r>
    </w:p>
    <w:p w14:paraId="451471BB"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 xml:space="preserve">Referrals to the Somerset AMHP Service will come from a variety of sources, including but not limited to; HTT, Consultant Psychiatrists, Hospital Wards, Liaison Psychiatry, General Practitioners, Police Custody Suites, Learning Disability Services, Child and Adolescent Mental Health Services and Nearest Relatives (as defined at s.26). </w:t>
      </w:r>
    </w:p>
    <w:p w14:paraId="3C5BE9A0"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 xml:space="preserve">All referrals to the Somerset AMHP Service should be made by telephone directly to the AMHP Hub on 01823 368244. It is a principle of the service design that referrers should have an AMHP as the first point of contact; </w:t>
      </w:r>
      <w:proofErr w:type="gramStart"/>
      <w:r w:rsidRPr="00695EB8">
        <w:rPr>
          <w:rFonts w:ascii="Microsoft New Tai Lue" w:eastAsia="Times New Roman" w:hAnsi="Microsoft New Tai Lue" w:cs="Microsoft New Tai Lue"/>
          <w:bCs/>
          <w:iCs/>
          <w:sz w:val="24"/>
          <w:szCs w:val="24"/>
        </w:rPr>
        <w:t>in order to</w:t>
      </w:r>
      <w:proofErr w:type="gramEnd"/>
      <w:r w:rsidRPr="00695EB8">
        <w:rPr>
          <w:rFonts w:ascii="Microsoft New Tai Lue" w:eastAsia="Times New Roman" w:hAnsi="Microsoft New Tai Lue" w:cs="Microsoft New Tai Lue"/>
          <w:bCs/>
          <w:iCs/>
          <w:sz w:val="24"/>
          <w:szCs w:val="24"/>
        </w:rPr>
        <w:t xml:space="preserve"> consider any request for AMHP involvement. </w:t>
      </w:r>
    </w:p>
    <w:p w14:paraId="2D1E7F09"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 xml:space="preserve">Local authorities have a duty (s.13(4)), when approached by a Nearest Relative (NR), for an AMHP to consider the making of an application to detain under Part II of the Act for a patient for whom they believe should be in hospital. In the case of such a referral, the responding AMHP will have to provide reasons in writing to the NR for not making an application, whether a Mental Health Act assessment is undertaken or </w:t>
      </w:r>
      <w:proofErr w:type="gramStart"/>
      <w:r w:rsidRPr="00695EB8">
        <w:rPr>
          <w:rFonts w:ascii="Microsoft New Tai Lue" w:eastAsia="Times New Roman" w:hAnsi="Microsoft New Tai Lue" w:cs="Microsoft New Tai Lue"/>
          <w:bCs/>
          <w:iCs/>
          <w:sz w:val="24"/>
          <w:szCs w:val="24"/>
        </w:rPr>
        <w:t>not, if</w:t>
      </w:r>
      <w:proofErr w:type="gramEnd"/>
      <w:r w:rsidRPr="00695EB8">
        <w:rPr>
          <w:rFonts w:ascii="Microsoft New Tai Lue" w:eastAsia="Times New Roman" w:hAnsi="Microsoft New Tai Lue" w:cs="Microsoft New Tai Lue"/>
          <w:bCs/>
          <w:iCs/>
          <w:sz w:val="24"/>
          <w:szCs w:val="24"/>
        </w:rPr>
        <w:t xml:space="preserve"> that is the decision of the AMHP. There is no prescribed format for such a referral and professionals supporting NRs and carers should seek advice from the AMHP service when they become aware of such views being expressed.</w:t>
      </w:r>
    </w:p>
    <w:p w14:paraId="05FC42EE"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 xml:space="preserve">There are no age limitations in relation to those who can be subject to compulsory detention under Part II of the Act 1983 (e.g. s.2, s.3). The use of Guardianship, however, is only possible for those over the age of 16. </w:t>
      </w:r>
    </w:p>
    <w:p w14:paraId="39A062F4"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The central legislative consideration for AMHPs when responding to a referral for their involvement is whether the patient has, or appears to have, a “mental disorder” as defined at s.1 (2) – i.e., “</w:t>
      </w:r>
      <w:r w:rsidRPr="00695EB8">
        <w:rPr>
          <w:rFonts w:ascii="Microsoft New Tai Lue" w:eastAsia="Times New Roman" w:hAnsi="Microsoft New Tai Lue" w:cs="Microsoft New Tai Lue"/>
          <w:bCs/>
          <w:i/>
          <w:iCs/>
          <w:sz w:val="24"/>
          <w:szCs w:val="24"/>
        </w:rPr>
        <w:t>any disorder or disability of the mind</w:t>
      </w:r>
      <w:r w:rsidRPr="00695EB8">
        <w:rPr>
          <w:rFonts w:ascii="Microsoft New Tai Lue" w:eastAsia="Times New Roman" w:hAnsi="Microsoft New Tai Lue" w:cs="Microsoft New Tai Lue"/>
          <w:bCs/>
          <w:iCs/>
          <w:sz w:val="24"/>
          <w:szCs w:val="24"/>
        </w:rPr>
        <w:t xml:space="preserve">”. </w:t>
      </w:r>
      <w:proofErr w:type="gramStart"/>
      <w:r w:rsidRPr="00695EB8">
        <w:rPr>
          <w:rFonts w:ascii="Microsoft New Tai Lue" w:eastAsia="Times New Roman" w:hAnsi="Microsoft New Tai Lue" w:cs="Microsoft New Tai Lue"/>
          <w:bCs/>
          <w:iCs/>
          <w:sz w:val="24"/>
          <w:szCs w:val="24"/>
        </w:rPr>
        <w:t>This broad criteria</w:t>
      </w:r>
      <w:proofErr w:type="gramEnd"/>
      <w:r w:rsidRPr="00695EB8">
        <w:rPr>
          <w:rFonts w:ascii="Microsoft New Tai Lue" w:eastAsia="Times New Roman" w:hAnsi="Microsoft New Tai Lue" w:cs="Microsoft New Tai Lue"/>
          <w:bCs/>
          <w:iCs/>
          <w:sz w:val="24"/>
          <w:szCs w:val="24"/>
        </w:rPr>
        <w:t xml:space="preserve"> does have exclusions (see below and Chapter 3 of the MHA Code of Practice) and there are specific considerations with patients who are under the age of 16, 16–17-year-olds; those with a learning disability; autistic spectrum disorders; and older persons. The Somerset AMHP Hub will support referrers when considering those who fall into one of these categories. </w:t>
      </w:r>
    </w:p>
    <w:p w14:paraId="5900F0D9"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Referrals relating to the use s.136 (by police officers) and s.5(2) (by registered medical practitioners), are subject to a time scale of being actioned within 24 hours of referral, although local policy is for these requests to be prioritised and assessments undertaken at the earliest and safest opportunity.</w:t>
      </w:r>
    </w:p>
    <w:p w14:paraId="1424963E"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
          <w:iCs/>
          <w:sz w:val="24"/>
          <w:szCs w:val="24"/>
          <w:u w:val="single"/>
        </w:rPr>
      </w:pPr>
      <w:r w:rsidRPr="00695EB8">
        <w:rPr>
          <w:rFonts w:ascii="Microsoft New Tai Lue" w:eastAsia="Times New Roman" w:hAnsi="Microsoft New Tai Lue" w:cs="Microsoft New Tai Lue"/>
          <w:bCs/>
          <w:i/>
          <w:iCs/>
          <w:sz w:val="24"/>
          <w:szCs w:val="24"/>
          <w:u w:val="single"/>
        </w:rPr>
        <w:lastRenderedPageBreak/>
        <w:t>Assessment of Referrals process:</w:t>
      </w:r>
    </w:p>
    <w:p w14:paraId="34280D1F" w14:textId="1DD446FA" w:rsidR="005B71A4"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The AMHP hub operates on the principle that, as a minimum, there is always a qualified AMHP available to receive a referral and hold a discussion with the referrer</w:t>
      </w:r>
      <w:r w:rsidR="00C17CFB">
        <w:rPr>
          <w:rFonts w:ascii="Microsoft New Tai Lue" w:eastAsia="Times New Roman" w:hAnsi="Microsoft New Tai Lue" w:cs="Microsoft New Tai Lue"/>
          <w:bCs/>
          <w:iCs/>
          <w:sz w:val="24"/>
          <w:szCs w:val="24"/>
        </w:rPr>
        <w:t xml:space="preserve"> to consider</w:t>
      </w:r>
      <w:r w:rsidR="00CB1A01">
        <w:rPr>
          <w:rFonts w:ascii="Microsoft New Tai Lue" w:eastAsia="Times New Roman" w:hAnsi="Microsoft New Tai Lue" w:cs="Microsoft New Tai Lue"/>
          <w:bCs/>
          <w:iCs/>
          <w:sz w:val="24"/>
          <w:szCs w:val="24"/>
        </w:rPr>
        <w:t xml:space="preserve"> the request</w:t>
      </w:r>
      <w:r w:rsidRPr="00695EB8">
        <w:rPr>
          <w:rFonts w:ascii="Microsoft New Tai Lue" w:eastAsia="Times New Roman" w:hAnsi="Microsoft New Tai Lue" w:cs="Microsoft New Tai Lue"/>
          <w:bCs/>
          <w:iCs/>
          <w:sz w:val="24"/>
          <w:szCs w:val="24"/>
        </w:rPr>
        <w:t xml:space="preserve">. All referrals will be screened using a screening tool and recorded on Eclipse. </w:t>
      </w:r>
      <w:r w:rsidR="00E4398C" w:rsidRPr="00641A5C">
        <w:rPr>
          <w:rFonts w:ascii="Microsoft New Tai Lue" w:eastAsia="Times New Roman" w:hAnsi="Microsoft New Tai Lue" w:cs="Microsoft New Tai Lue"/>
          <w:bCs/>
          <w:iCs/>
          <w:sz w:val="24"/>
          <w:szCs w:val="24"/>
        </w:rPr>
        <w:t>A</w:t>
      </w:r>
      <w:r w:rsidR="00EF024B" w:rsidRPr="00641A5C">
        <w:rPr>
          <w:rFonts w:ascii="Microsoft New Tai Lue" w:eastAsia="Times New Roman" w:hAnsi="Microsoft New Tai Lue" w:cs="Microsoft New Tai Lue"/>
          <w:bCs/>
          <w:iCs/>
          <w:sz w:val="24"/>
          <w:szCs w:val="24"/>
        </w:rPr>
        <w:t xml:space="preserve">s part of considering any referral the AMHP will </w:t>
      </w:r>
      <w:r w:rsidR="00DA6D80" w:rsidRPr="00641A5C">
        <w:rPr>
          <w:rFonts w:ascii="Microsoft New Tai Lue" w:eastAsia="Times New Roman" w:hAnsi="Microsoft New Tai Lue" w:cs="Microsoft New Tai Lue"/>
          <w:bCs/>
          <w:iCs/>
          <w:sz w:val="24"/>
          <w:szCs w:val="24"/>
        </w:rPr>
        <w:t>liaise</w:t>
      </w:r>
      <w:r w:rsidR="00EF024B" w:rsidRPr="00641A5C">
        <w:rPr>
          <w:rFonts w:ascii="Microsoft New Tai Lue" w:eastAsia="Times New Roman" w:hAnsi="Microsoft New Tai Lue" w:cs="Microsoft New Tai Lue"/>
          <w:bCs/>
          <w:iCs/>
          <w:sz w:val="24"/>
          <w:szCs w:val="24"/>
        </w:rPr>
        <w:t xml:space="preserve"> with other professionals</w:t>
      </w:r>
      <w:r w:rsidR="00DA6D80" w:rsidRPr="00641A5C">
        <w:rPr>
          <w:rFonts w:ascii="Microsoft New Tai Lue" w:eastAsia="Times New Roman" w:hAnsi="Microsoft New Tai Lue" w:cs="Microsoft New Tai Lue"/>
          <w:bCs/>
          <w:iCs/>
          <w:sz w:val="24"/>
          <w:szCs w:val="24"/>
        </w:rPr>
        <w:t xml:space="preserve">, which might also include the </w:t>
      </w:r>
      <w:r w:rsidR="00102450" w:rsidRPr="00641A5C">
        <w:rPr>
          <w:rFonts w:ascii="Microsoft New Tai Lue" w:eastAsia="Times New Roman" w:hAnsi="Microsoft New Tai Lue" w:cs="Microsoft New Tai Lue"/>
          <w:bCs/>
          <w:iCs/>
          <w:sz w:val="24"/>
          <w:szCs w:val="24"/>
        </w:rPr>
        <w:t xml:space="preserve">out of hours </w:t>
      </w:r>
      <w:r w:rsidR="005B71A4" w:rsidRPr="00641A5C">
        <w:rPr>
          <w:rFonts w:ascii="Microsoft New Tai Lue" w:eastAsia="Times New Roman" w:hAnsi="Microsoft New Tai Lue" w:cs="Microsoft New Tai Lue"/>
          <w:bCs/>
          <w:iCs/>
          <w:sz w:val="24"/>
          <w:szCs w:val="24"/>
        </w:rPr>
        <w:t>on-call</w:t>
      </w:r>
      <w:r w:rsidR="00DA6D80" w:rsidRPr="00641A5C">
        <w:rPr>
          <w:rFonts w:ascii="Microsoft New Tai Lue" w:eastAsia="Times New Roman" w:hAnsi="Microsoft New Tai Lue" w:cs="Microsoft New Tai Lue"/>
          <w:bCs/>
          <w:iCs/>
          <w:sz w:val="24"/>
          <w:szCs w:val="24"/>
        </w:rPr>
        <w:t xml:space="preserve"> consultant for S</w:t>
      </w:r>
      <w:r w:rsidR="005B71A4" w:rsidRPr="00641A5C">
        <w:rPr>
          <w:rFonts w:ascii="Microsoft New Tai Lue" w:eastAsia="Times New Roman" w:hAnsi="Microsoft New Tai Lue" w:cs="Microsoft New Tai Lue"/>
          <w:bCs/>
          <w:iCs/>
          <w:sz w:val="24"/>
          <w:szCs w:val="24"/>
        </w:rPr>
        <w:t xml:space="preserve">omerset </w:t>
      </w:r>
      <w:r w:rsidR="00DA6D80" w:rsidRPr="00641A5C">
        <w:rPr>
          <w:rFonts w:ascii="Microsoft New Tai Lue" w:eastAsia="Times New Roman" w:hAnsi="Microsoft New Tai Lue" w:cs="Microsoft New Tai Lue"/>
          <w:bCs/>
          <w:iCs/>
          <w:sz w:val="24"/>
          <w:szCs w:val="24"/>
        </w:rPr>
        <w:t>F</w:t>
      </w:r>
      <w:r w:rsidR="005B71A4" w:rsidRPr="00641A5C">
        <w:rPr>
          <w:rFonts w:ascii="Microsoft New Tai Lue" w:eastAsia="Times New Roman" w:hAnsi="Microsoft New Tai Lue" w:cs="Microsoft New Tai Lue"/>
          <w:bCs/>
          <w:iCs/>
          <w:sz w:val="24"/>
          <w:szCs w:val="24"/>
        </w:rPr>
        <w:t xml:space="preserve">oundation </w:t>
      </w:r>
      <w:r w:rsidR="00DA6D80" w:rsidRPr="00641A5C">
        <w:rPr>
          <w:rFonts w:ascii="Microsoft New Tai Lue" w:eastAsia="Times New Roman" w:hAnsi="Microsoft New Tai Lue" w:cs="Microsoft New Tai Lue"/>
          <w:bCs/>
          <w:iCs/>
          <w:sz w:val="24"/>
          <w:szCs w:val="24"/>
        </w:rPr>
        <w:t>T</w:t>
      </w:r>
      <w:r w:rsidR="005B71A4" w:rsidRPr="00641A5C">
        <w:rPr>
          <w:rFonts w:ascii="Microsoft New Tai Lue" w:eastAsia="Times New Roman" w:hAnsi="Microsoft New Tai Lue" w:cs="Microsoft New Tai Lue"/>
          <w:bCs/>
          <w:iCs/>
          <w:sz w:val="24"/>
          <w:szCs w:val="24"/>
        </w:rPr>
        <w:t>rust</w:t>
      </w:r>
      <w:r w:rsidR="00405EEE" w:rsidRPr="00641A5C">
        <w:rPr>
          <w:rFonts w:ascii="Microsoft New Tai Lue" w:eastAsia="Times New Roman" w:hAnsi="Microsoft New Tai Lue" w:cs="Microsoft New Tai Lue"/>
          <w:bCs/>
          <w:iCs/>
          <w:sz w:val="24"/>
          <w:szCs w:val="24"/>
        </w:rPr>
        <w:t xml:space="preserve">, to ensure that </w:t>
      </w:r>
      <w:r w:rsidR="00601E86" w:rsidRPr="00641A5C">
        <w:rPr>
          <w:rFonts w:ascii="Microsoft New Tai Lue" w:eastAsia="Times New Roman" w:hAnsi="Microsoft New Tai Lue" w:cs="Microsoft New Tai Lue"/>
          <w:bCs/>
          <w:iCs/>
          <w:sz w:val="24"/>
          <w:szCs w:val="24"/>
        </w:rPr>
        <w:t xml:space="preserve">all factors surrounding the referral are taking into consideration prior to a decision being made </w:t>
      </w:r>
      <w:r w:rsidR="005B71A4" w:rsidRPr="00641A5C">
        <w:rPr>
          <w:rFonts w:ascii="Microsoft New Tai Lue" w:eastAsia="Times New Roman" w:hAnsi="Microsoft New Tai Lue" w:cs="Microsoft New Tai Lue"/>
          <w:bCs/>
          <w:iCs/>
          <w:sz w:val="24"/>
          <w:szCs w:val="24"/>
        </w:rPr>
        <w:t>whether</w:t>
      </w:r>
      <w:r w:rsidR="00601E86" w:rsidRPr="00641A5C">
        <w:rPr>
          <w:rFonts w:ascii="Microsoft New Tai Lue" w:eastAsia="Times New Roman" w:hAnsi="Microsoft New Tai Lue" w:cs="Microsoft New Tai Lue"/>
          <w:bCs/>
          <w:iCs/>
          <w:sz w:val="24"/>
          <w:szCs w:val="24"/>
        </w:rPr>
        <w:t xml:space="preserve"> to accept the referral or not.</w:t>
      </w:r>
    </w:p>
    <w:p w14:paraId="5AA48118" w14:textId="2E020C1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 xml:space="preserve">If the referral is accepted for a MHA assessment, this will then be processed on Eclipse and assigned to the AMHP team. If a referral is not accepted for a MHA assessment, the rationale for this decision should be clearly communicated to the referrer and recorded on Eclipse. Working on the principal of least restrictive options, it may be that the AMHP decides other alternatives should be considered prior to moving to an MHA assessment. </w:t>
      </w:r>
    </w:p>
    <w:p w14:paraId="73F954E0"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
          <w:iCs/>
          <w:sz w:val="24"/>
          <w:szCs w:val="24"/>
          <w:u w:val="single"/>
        </w:rPr>
      </w:pPr>
      <w:r w:rsidRPr="00695EB8">
        <w:rPr>
          <w:rFonts w:ascii="Microsoft New Tai Lue" w:eastAsia="Times New Roman" w:hAnsi="Microsoft New Tai Lue" w:cs="Microsoft New Tai Lue"/>
          <w:bCs/>
          <w:i/>
          <w:iCs/>
          <w:sz w:val="24"/>
          <w:szCs w:val="24"/>
          <w:u w:val="single"/>
        </w:rPr>
        <w:t>Response time, prioritisation, and triage:</w:t>
      </w:r>
    </w:p>
    <w:p w14:paraId="3F3A0970"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 xml:space="preserve">It is the expectation that all referrals received will have an immediate response from an AMHP in the AMHP hub. If all lines are busy, the referrer will be able to leave a message and expect a return call as soon as practicably possible. Work will be prioritised </w:t>
      </w:r>
      <w:proofErr w:type="gramStart"/>
      <w:r w:rsidRPr="00695EB8">
        <w:rPr>
          <w:rFonts w:ascii="Microsoft New Tai Lue" w:eastAsia="Times New Roman" w:hAnsi="Microsoft New Tai Lue" w:cs="Microsoft New Tai Lue"/>
          <w:bCs/>
          <w:iCs/>
          <w:sz w:val="24"/>
          <w:szCs w:val="24"/>
        </w:rPr>
        <w:t>on the basis of</w:t>
      </w:r>
      <w:proofErr w:type="gramEnd"/>
      <w:r w:rsidRPr="00695EB8">
        <w:rPr>
          <w:rFonts w:ascii="Microsoft New Tai Lue" w:eastAsia="Times New Roman" w:hAnsi="Microsoft New Tai Lue" w:cs="Microsoft New Tai Lue"/>
          <w:bCs/>
          <w:iCs/>
          <w:sz w:val="24"/>
          <w:szCs w:val="24"/>
        </w:rPr>
        <w:t xml:space="preserve"> the urgency of the situation and the risk to the patient and public.</w:t>
      </w:r>
    </w:p>
    <w:p w14:paraId="3088F577"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Once the referral has been accepted, the AMHP hub will discuss and agree how they will facilitate their intervention. Where a Guardianship or Community Treatment Order is being requested, the AMHP hub will co-ordinate responses by allocating an AMHP to consider the case. Such allocation will be negotiated based on capacity and developmental needs of AMHP practice (</w:t>
      </w:r>
      <w:proofErr w:type="spellStart"/>
      <w:r w:rsidRPr="00695EB8">
        <w:rPr>
          <w:rFonts w:ascii="Microsoft New Tai Lue" w:eastAsia="Times New Roman" w:hAnsi="Microsoft New Tai Lue" w:cs="Microsoft New Tai Lue"/>
          <w:bCs/>
          <w:iCs/>
          <w:sz w:val="24"/>
          <w:szCs w:val="24"/>
        </w:rPr>
        <w:t>i.e</w:t>
      </w:r>
      <w:proofErr w:type="spellEnd"/>
      <w:r w:rsidRPr="00695EB8">
        <w:rPr>
          <w:rFonts w:ascii="Microsoft New Tai Lue" w:eastAsia="Times New Roman" w:hAnsi="Microsoft New Tai Lue" w:cs="Microsoft New Tai Lue"/>
          <w:bCs/>
          <w:iCs/>
          <w:sz w:val="24"/>
          <w:szCs w:val="24"/>
        </w:rPr>
        <w:t xml:space="preserve"> competence/</w:t>
      </w:r>
      <w:r w:rsidRPr="00695EB8">
        <w:rPr>
          <w:rFonts w:ascii="Microsoft New Tai Lue" w:eastAsia="Times New Roman" w:hAnsi="Microsoft New Tai Lue" w:cs="Microsoft New Tai Lue"/>
          <w:sz w:val="24"/>
          <w:szCs w:val="24"/>
        </w:rPr>
        <w:t xml:space="preserve"> </w:t>
      </w:r>
      <w:r w:rsidRPr="00695EB8">
        <w:rPr>
          <w:rFonts w:ascii="Microsoft New Tai Lue" w:eastAsia="Times New Roman" w:hAnsi="Microsoft New Tai Lue" w:cs="Microsoft New Tai Lue"/>
          <w:bCs/>
          <w:iCs/>
          <w:sz w:val="24"/>
          <w:szCs w:val="24"/>
        </w:rPr>
        <w:t xml:space="preserve">CPD). </w:t>
      </w:r>
    </w:p>
    <w:p w14:paraId="113D9FAA"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The core business of the AMHP Hub is:</w:t>
      </w:r>
    </w:p>
    <w:p w14:paraId="0422F08A"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 xml:space="preserve">Provide the initial screen for AMHP involvement (establish “least restrictive” options considered, urgency, and so on). </w:t>
      </w:r>
    </w:p>
    <w:p w14:paraId="4B727EF3"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Doctor’s availability.</w:t>
      </w:r>
    </w:p>
    <w:p w14:paraId="027D1F8D"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Recording accurately on Eclipse and Rio where needed.</w:t>
      </w:r>
    </w:p>
    <w:p w14:paraId="15300D96"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Assist in planning the AMHP’s work via Co-Ordinating AMHP.</w:t>
      </w:r>
    </w:p>
    <w:p w14:paraId="6F85F128"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Compilation and distribution of AMHP rotas.</w:t>
      </w:r>
    </w:p>
    <w:p w14:paraId="00818F2F"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Track s.2 admissions and monitor ‘out of area’ patients.</w:t>
      </w:r>
    </w:p>
    <w:p w14:paraId="055EB719"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Act as a point of advice to AMHPs and other colleagues (“Bolam” principle).</w:t>
      </w:r>
    </w:p>
    <w:p w14:paraId="1DA2F654"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lastRenderedPageBreak/>
        <w:t>Support AMHPs with highlighting and resolving issues within the organisation and service.</w:t>
      </w:r>
    </w:p>
    <w:p w14:paraId="0FD0B4FD"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Provide an additional base for locality, where geographically sensible.</w:t>
      </w:r>
    </w:p>
    <w:p w14:paraId="54BC1880" w14:textId="77777777" w:rsidR="00695EB8" w:rsidRPr="00695EB8" w:rsidRDefault="00695EB8" w:rsidP="00827E5F">
      <w:pPr>
        <w:numPr>
          <w:ilvl w:val="0"/>
          <w:numId w:val="2"/>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Provide an additional learning environment for AMHP Trainees and those returning to practice.</w:t>
      </w:r>
    </w:p>
    <w:p w14:paraId="4F04CCBD" w14:textId="77777777" w:rsidR="00695EB8" w:rsidRPr="00695EB8" w:rsidRDefault="00695EB8" w:rsidP="00827E5F">
      <w:pPr>
        <w:numPr>
          <w:ilvl w:val="0"/>
          <w:numId w:val="3"/>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Manage the ‘locum’ capacity from a central point.</w:t>
      </w:r>
    </w:p>
    <w:p w14:paraId="062F55EA" w14:textId="77777777" w:rsidR="00695EB8" w:rsidRPr="00695EB8" w:rsidRDefault="00695EB8" w:rsidP="00827E5F">
      <w:pPr>
        <w:numPr>
          <w:ilvl w:val="0"/>
          <w:numId w:val="3"/>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Ensure that gaps in AMHP rotas are covered either by reallocation within localities or use of Hub resources.</w:t>
      </w:r>
    </w:p>
    <w:p w14:paraId="60FFB105" w14:textId="77777777" w:rsidR="00695EB8" w:rsidRPr="00695EB8" w:rsidRDefault="00695EB8" w:rsidP="00827E5F">
      <w:pPr>
        <w:numPr>
          <w:ilvl w:val="0"/>
          <w:numId w:val="3"/>
        </w:num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 xml:space="preserve">Support short-term sickness, and work with manager to cover long-term absences. </w:t>
      </w:r>
    </w:p>
    <w:p w14:paraId="4C3703CD"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
          <w:iCs/>
          <w:sz w:val="24"/>
          <w:szCs w:val="24"/>
          <w:u w:val="single"/>
        </w:rPr>
      </w:pPr>
      <w:r w:rsidRPr="00695EB8">
        <w:rPr>
          <w:rFonts w:ascii="Microsoft New Tai Lue" w:eastAsia="Times New Roman" w:hAnsi="Microsoft New Tai Lue" w:cs="Microsoft New Tai Lue"/>
          <w:bCs/>
          <w:i/>
          <w:iCs/>
          <w:sz w:val="24"/>
          <w:szCs w:val="24"/>
          <w:u w:val="single"/>
        </w:rPr>
        <w:t xml:space="preserve">Care planning and risk management / planning (including CPA where relevant): </w:t>
      </w:r>
    </w:p>
    <w:p w14:paraId="7599BA64" w14:textId="77777777" w:rsidR="00695EB8" w:rsidRPr="00695EB8" w:rsidRDefault="00695EB8" w:rsidP="00695EB8">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Risk assessment is a key component of an AMHP’s work. Any relevant risk information that is found during an AMHPs involvement in the care of a patient will form part of their final report; with unmet outcomes and issues being alerted to the relevant professionals for further consideration. All risks need to be recorded on Eclipse and Rio.</w:t>
      </w:r>
    </w:p>
    <w:p w14:paraId="6306BDF1" w14:textId="66C03BC9" w:rsidR="00E623BD" w:rsidRDefault="00695EB8" w:rsidP="00E12324">
      <w:pPr>
        <w:spacing w:beforeLines="60" w:before="144" w:afterLines="60" w:after="144" w:line="240" w:lineRule="auto"/>
        <w:rPr>
          <w:rFonts w:ascii="Microsoft New Tai Lue" w:eastAsia="Times New Roman" w:hAnsi="Microsoft New Tai Lue" w:cs="Microsoft New Tai Lue"/>
          <w:bCs/>
          <w:iCs/>
          <w:sz w:val="24"/>
          <w:szCs w:val="24"/>
        </w:rPr>
      </w:pPr>
      <w:r w:rsidRPr="00695EB8">
        <w:rPr>
          <w:rFonts w:ascii="Microsoft New Tai Lue" w:eastAsia="Times New Roman" w:hAnsi="Microsoft New Tai Lue" w:cs="Microsoft New Tai Lue"/>
          <w:bCs/>
          <w:iCs/>
          <w:sz w:val="24"/>
          <w:szCs w:val="24"/>
        </w:rPr>
        <w:t>Where AMHPs are involved in the management of Guardianship, Community Treatment Orders and Restricted Patients, they will contribute to existing risk management procedures.</w:t>
      </w:r>
    </w:p>
    <w:p w14:paraId="7B8F6CA1" w14:textId="77777777" w:rsidR="00E12324" w:rsidRPr="00E12324" w:rsidRDefault="00E12324" w:rsidP="00E12324">
      <w:pPr>
        <w:spacing w:beforeLines="60" w:before="144" w:afterLines="60" w:after="144" w:line="240" w:lineRule="auto"/>
        <w:rPr>
          <w:rFonts w:ascii="Microsoft New Tai Lue" w:eastAsia="Times New Roman" w:hAnsi="Microsoft New Tai Lue" w:cs="Microsoft New Tai Lue"/>
          <w:bCs/>
          <w:iCs/>
          <w:sz w:val="24"/>
          <w:szCs w:val="24"/>
        </w:rPr>
      </w:pPr>
    </w:p>
    <w:p w14:paraId="660923D2" w14:textId="75EC5BB1" w:rsidR="00D46DDB" w:rsidRPr="00D46DDB" w:rsidRDefault="00E12324" w:rsidP="00D46DDB">
      <w:pPr>
        <w:pStyle w:val="Default"/>
        <w:ind w:hanging="142"/>
        <w:rPr>
          <w:b/>
          <w:bCs/>
          <w:color w:val="008080"/>
          <w:sz w:val="36"/>
          <w:szCs w:val="36"/>
        </w:rPr>
      </w:pPr>
      <w:r>
        <w:rPr>
          <w:b/>
          <w:bCs/>
          <w:color w:val="008080"/>
          <w:sz w:val="36"/>
          <w:szCs w:val="36"/>
        </w:rPr>
        <w:t>4</w:t>
      </w:r>
      <w:r w:rsidR="00D46DDB" w:rsidRPr="00D46DDB">
        <w:rPr>
          <w:b/>
          <w:bCs/>
          <w:color w:val="008080"/>
          <w:sz w:val="36"/>
          <w:szCs w:val="36"/>
        </w:rPr>
        <w:t xml:space="preserve">. </w:t>
      </w:r>
      <w:r w:rsidR="00BD2620" w:rsidRPr="00BD2620">
        <w:rPr>
          <w:b/>
          <w:bCs/>
          <w:iCs/>
          <w:color w:val="008080"/>
          <w:sz w:val="36"/>
          <w:szCs w:val="36"/>
        </w:rPr>
        <w:t>Referral limitations / exclusions.</w:t>
      </w:r>
    </w:p>
    <w:p w14:paraId="5942AA4A" w14:textId="77777777" w:rsidR="006837CE" w:rsidRDefault="006837CE" w:rsidP="00D46DDB">
      <w:pPr>
        <w:pStyle w:val="Default"/>
        <w:ind w:hanging="142"/>
        <w:rPr>
          <w:color w:val="auto"/>
        </w:rPr>
      </w:pPr>
    </w:p>
    <w:p w14:paraId="3711EC12" w14:textId="77777777" w:rsidR="00C620FD" w:rsidRPr="00C620FD" w:rsidRDefault="00C620FD" w:rsidP="00C620FD">
      <w:pPr>
        <w:spacing w:beforeLines="60" w:before="144" w:afterLines="60" w:after="144" w:line="240" w:lineRule="auto"/>
        <w:rPr>
          <w:rFonts w:ascii="Microsoft New Tai Lue" w:eastAsia="Times New Roman" w:hAnsi="Microsoft New Tai Lue" w:cs="Microsoft New Tai Lue"/>
          <w:bCs/>
          <w:i/>
          <w:iCs/>
          <w:sz w:val="24"/>
          <w:szCs w:val="24"/>
          <w:u w:val="single"/>
        </w:rPr>
      </w:pPr>
      <w:r w:rsidRPr="00C620FD">
        <w:rPr>
          <w:rFonts w:ascii="Microsoft New Tai Lue" w:eastAsia="Times New Roman" w:hAnsi="Microsoft New Tai Lue" w:cs="Microsoft New Tai Lue"/>
          <w:bCs/>
          <w:i/>
          <w:iCs/>
          <w:sz w:val="24"/>
          <w:szCs w:val="24"/>
          <w:u w:val="single"/>
        </w:rPr>
        <w:t>Limitations:</w:t>
      </w:r>
    </w:p>
    <w:p w14:paraId="459A4A40" w14:textId="77777777" w:rsidR="00C620FD" w:rsidRPr="00C620FD" w:rsidRDefault="00C620FD" w:rsidP="00C620FD">
      <w:pPr>
        <w:spacing w:beforeLines="60" w:before="144" w:afterLines="60" w:after="144" w:line="240" w:lineRule="auto"/>
        <w:rPr>
          <w:rFonts w:ascii="Microsoft New Tai Lue" w:eastAsia="Times New Roman" w:hAnsi="Microsoft New Tai Lue" w:cs="Microsoft New Tai Lue"/>
          <w:bCs/>
          <w:iCs/>
          <w:sz w:val="24"/>
          <w:szCs w:val="24"/>
        </w:rPr>
      </w:pPr>
      <w:r w:rsidRPr="00C620FD">
        <w:rPr>
          <w:rFonts w:ascii="Microsoft New Tai Lue" w:eastAsia="Times New Roman" w:hAnsi="Microsoft New Tai Lue" w:cs="Microsoft New Tai Lue"/>
          <w:bCs/>
          <w:iCs/>
          <w:sz w:val="24"/>
          <w:szCs w:val="24"/>
        </w:rPr>
        <w:t>Under the European Convention on Human Rights (ECHR), Article 5, no-one can be deprived of their liberty for reasons of mental disorder (</w:t>
      </w:r>
      <w:r w:rsidRPr="00C620FD">
        <w:rPr>
          <w:rFonts w:ascii="Microsoft New Tai Lue" w:eastAsia="Times New Roman" w:hAnsi="Microsoft New Tai Lue" w:cs="Microsoft New Tai Lue"/>
          <w:bCs/>
          <w:i/>
          <w:iCs/>
          <w:sz w:val="24"/>
          <w:szCs w:val="24"/>
        </w:rPr>
        <w:t>“unsound mind”</w:t>
      </w:r>
      <w:r w:rsidRPr="00C620FD">
        <w:rPr>
          <w:rFonts w:ascii="Microsoft New Tai Lue" w:eastAsia="Times New Roman" w:hAnsi="Microsoft New Tai Lue" w:cs="Microsoft New Tai Lue"/>
          <w:bCs/>
          <w:iCs/>
          <w:sz w:val="24"/>
          <w:szCs w:val="24"/>
        </w:rPr>
        <w:t xml:space="preserve">) without a procedure prescribed in law, and </w:t>
      </w:r>
      <w:proofErr w:type="gramStart"/>
      <w:r w:rsidRPr="00C620FD">
        <w:rPr>
          <w:rFonts w:ascii="Microsoft New Tai Lue" w:eastAsia="Times New Roman" w:hAnsi="Microsoft New Tai Lue" w:cs="Microsoft New Tai Lue"/>
          <w:bCs/>
          <w:iCs/>
          <w:sz w:val="24"/>
          <w:szCs w:val="24"/>
        </w:rPr>
        <w:t>on the basis of</w:t>
      </w:r>
      <w:proofErr w:type="gramEnd"/>
      <w:r w:rsidRPr="00C620FD">
        <w:rPr>
          <w:rFonts w:ascii="Microsoft New Tai Lue" w:eastAsia="Times New Roman" w:hAnsi="Microsoft New Tai Lue" w:cs="Microsoft New Tai Lue"/>
          <w:bCs/>
          <w:iCs/>
          <w:sz w:val="24"/>
          <w:szCs w:val="24"/>
        </w:rPr>
        <w:t xml:space="preserve"> objective medical evidence</w:t>
      </w:r>
      <w:r w:rsidRPr="00C620FD">
        <w:rPr>
          <w:rFonts w:ascii="Microsoft New Tai Lue" w:eastAsia="Times New Roman" w:hAnsi="Microsoft New Tai Lue" w:cs="Microsoft New Tai Lue"/>
          <w:bCs/>
          <w:iCs/>
          <w:sz w:val="24"/>
          <w:szCs w:val="24"/>
          <w:vertAlign w:val="superscript"/>
        </w:rPr>
        <w:footnoteReference w:id="2"/>
      </w:r>
      <w:r w:rsidRPr="00C620FD">
        <w:rPr>
          <w:rFonts w:ascii="Microsoft New Tai Lue" w:eastAsia="Times New Roman" w:hAnsi="Microsoft New Tai Lue" w:cs="Microsoft New Tai Lue"/>
          <w:bCs/>
          <w:iCs/>
          <w:sz w:val="24"/>
          <w:szCs w:val="24"/>
        </w:rPr>
        <w:t>. Under Article 8 of the ECHR, public authorities, such as Somerset Council, cannot interfere in the private or family lives of individuals without doing so proportionately and in a legally defensible manner. As the AMHP is regarded as a public authority for the purposes of the ECHR they are required as individuals, to be able to demonstrate explicitly their rationale for acting in matters relating to the MHA 1983 and other legislation.</w:t>
      </w:r>
    </w:p>
    <w:p w14:paraId="4B1F5FAD" w14:textId="77777777" w:rsidR="00C620FD" w:rsidRPr="00C620FD" w:rsidRDefault="00C620FD" w:rsidP="00C620FD">
      <w:pPr>
        <w:spacing w:beforeLines="60" w:before="144" w:afterLines="60" w:after="144" w:line="240" w:lineRule="auto"/>
        <w:rPr>
          <w:rFonts w:ascii="Microsoft New Tai Lue" w:eastAsia="Times New Roman" w:hAnsi="Microsoft New Tai Lue" w:cs="Microsoft New Tai Lue"/>
          <w:bCs/>
          <w:iCs/>
          <w:sz w:val="24"/>
          <w:szCs w:val="24"/>
        </w:rPr>
      </w:pPr>
      <w:r w:rsidRPr="00C620FD">
        <w:rPr>
          <w:rFonts w:ascii="Microsoft New Tai Lue" w:eastAsia="Times New Roman" w:hAnsi="Microsoft New Tai Lue" w:cs="Microsoft New Tai Lue"/>
          <w:bCs/>
          <w:iCs/>
          <w:sz w:val="24"/>
          <w:szCs w:val="24"/>
        </w:rPr>
        <w:t xml:space="preserve">s.13(5) affirms the independence of the AMHP in matters relating to the consideration of carrying out an assessment or making an application for admission under the MHA 1983. The AMHP must satisfy themselves that an application for compulsory admission is appropriate “in all circumstance of the case” (s.13(2)), which </w:t>
      </w:r>
      <w:r w:rsidRPr="00C620FD">
        <w:rPr>
          <w:rFonts w:ascii="Microsoft New Tai Lue" w:eastAsia="Times New Roman" w:hAnsi="Microsoft New Tai Lue" w:cs="Microsoft New Tai Lue"/>
          <w:bCs/>
          <w:iCs/>
          <w:sz w:val="24"/>
          <w:szCs w:val="24"/>
        </w:rPr>
        <w:lastRenderedPageBreak/>
        <w:t xml:space="preserve">takes into consideration matters outside of the simple application of legal criteria as set out in the MHA 1983. Reference to the most recent case law is essential for AMHPs’ practice to remain lawful. </w:t>
      </w:r>
    </w:p>
    <w:p w14:paraId="0DA6554E" w14:textId="77777777" w:rsidR="00C620FD" w:rsidRPr="00C620FD" w:rsidRDefault="00C620FD" w:rsidP="00C620FD">
      <w:pPr>
        <w:spacing w:beforeLines="60" w:before="144" w:afterLines="60" w:after="144" w:line="240" w:lineRule="auto"/>
        <w:rPr>
          <w:rFonts w:ascii="Microsoft New Tai Lue" w:eastAsia="Times New Roman" w:hAnsi="Microsoft New Tai Lue" w:cs="Microsoft New Tai Lue"/>
          <w:bCs/>
          <w:iCs/>
          <w:sz w:val="24"/>
          <w:szCs w:val="24"/>
        </w:rPr>
      </w:pPr>
      <w:r w:rsidRPr="00C620FD">
        <w:rPr>
          <w:rFonts w:ascii="Microsoft New Tai Lue" w:eastAsia="Times New Roman" w:hAnsi="Microsoft New Tai Lue" w:cs="Microsoft New Tai Lue"/>
          <w:bCs/>
          <w:iCs/>
          <w:sz w:val="24"/>
          <w:szCs w:val="24"/>
        </w:rPr>
        <w:t>In determining the appropriateness of a referral, the AMHP must also consider whether there are any conflicts of interest; in line with s.12, t</w:t>
      </w:r>
      <w:r w:rsidRPr="00C620FD">
        <w:rPr>
          <w:rFonts w:ascii="Microsoft New Tai Lue" w:eastAsia="Times New Roman" w:hAnsi="Microsoft New Tai Lue" w:cs="Microsoft New Tai Lue"/>
          <w:sz w:val="24"/>
          <w:szCs w:val="24"/>
        </w:rPr>
        <w:t>he Mental Health (Conflicts of Interest) (England) Regulations 2008 (SI 2008/1205),</w:t>
      </w:r>
    </w:p>
    <w:p w14:paraId="41234290" w14:textId="77777777" w:rsidR="00C620FD" w:rsidRPr="00C620FD" w:rsidRDefault="00C620FD" w:rsidP="00C620FD">
      <w:pPr>
        <w:spacing w:beforeLines="60" w:before="144" w:afterLines="60" w:after="144" w:line="240" w:lineRule="auto"/>
        <w:rPr>
          <w:rFonts w:ascii="Microsoft New Tai Lue" w:eastAsia="Times New Roman" w:hAnsi="Microsoft New Tai Lue" w:cs="Microsoft New Tai Lue"/>
          <w:bCs/>
          <w:i/>
          <w:iCs/>
          <w:sz w:val="24"/>
          <w:szCs w:val="24"/>
          <w:u w:val="single"/>
        </w:rPr>
      </w:pPr>
      <w:r w:rsidRPr="00C620FD">
        <w:rPr>
          <w:rFonts w:ascii="Microsoft New Tai Lue" w:eastAsia="Times New Roman" w:hAnsi="Microsoft New Tai Lue" w:cs="Microsoft New Tai Lue"/>
          <w:bCs/>
          <w:i/>
          <w:iCs/>
          <w:sz w:val="24"/>
          <w:szCs w:val="24"/>
          <w:u w:val="single"/>
        </w:rPr>
        <w:t>Exclusions:</w:t>
      </w:r>
    </w:p>
    <w:p w14:paraId="5A5312FD" w14:textId="40C8D4B7" w:rsidR="00BD2620" w:rsidRDefault="00C620FD" w:rsidP="00B44E16">
      <w:pPr>
        <w:pStyle w:val="Default"/>
        <w:ind w:hanging="142"/>
        <w:rPr>
          <w:rFonts w:ascii="Microsoft New Tai Lue" w:hAnsi="Microsoft New Tai Lue" w:cs="Microsoft New Tai Lue"/>
          <w:bCs/>
          <w:iCs/>
          <w:color w:val="auto"/>
          <w:lang w:eastAsia="en-US"/>
        </w:rPr>
      </w:pPr>
      <w:r w:rsidRPr="00C620FD">
        <w:rPr>
          <w:rFonts w:ascii="Microsoft New Tai Lue" w:hAnsi="Microsoft New Tai Lue" w:cs="Microsoft New Tai Lue"/>
          <w:bCs/>
          <w:iCs/>
          <w:color w:val="auto"/>
          <w:lang w:eastAsia="en-US"/>
        </w:rPr>
        <w:t>s.1(3) “Dependence on alcohol or drugs is not considered to be a disorder or disability of the mind”. The presence of alcohol and drug dependence does not in itself preclude consideration of</w:t>
      </w:r>
      <w:r w:rsidRPr="00C620FD">
        <w:rPr>
          <w:bCs/>
          <w:iCs/>
          <w:color w:val="auto"/>
          <w:sz w:val="22"/>
          <w:lang w:eastAsia="en-US"/>
        </w:rPr>
        <w:t xml:space="preserve"> </w:t>
      </w:r>
      <w:r w:rsidRPr="00C620FD">
        <w:rPr>
          <w:rFonts w:ascii="Microsoft New Tai Lue" w:hAnsi="Microsoft New Tai Lue" w:cs="Microsoft New Tai Lue"/>
          <w:bCs/>
          <w:iCs/>
          <w:color w:val="auto"/>
          <w:lang w:eastAsia="en-US"/>
        </w:rPr>
        <w:t>the use of the MHA, if the presence of a co-existing mental disorder (as described above) is proven with objective medical evidence.</w:t>
      </w:r>
    </w:p>
    <w:p w14:paraId="1317D396" w14:textId="2F6B81C3" w:rsidR="006F5EFD" w:rsidRDefault="006F5EFD" w:rsidP="006F5EFD">
      <w:pPr>
        <w:pStyle w:val="Default"/>
        <w:rPr>
          <w:b/>
          <w:bCs/>
          <w:iCs/>
        </w:rPr>
      </w:pPr>
    </w:p>
    <w:p w14:paraId="0E0E819F" w14:textId="654330CC" w:rsidR="006F5EFD" w:rsidRDefault="006F5EFD" w:rsidP="006F5EFD">
      <w:pPr>
        <w:pStyle w:val="Default"/>
        <w:ind w:hanging="142"/>
        <w:rPr>
          <w:b/>
          <w:bCs/>
          <w:iCs/>
          <w:color w:val="008080"/>
          <w:sz w:val="36"/>
          <w:szCs w:val="36"/>
        </w:rPr>
      </w:pPr>
      <w:r>
        <w:rPr>
          <w:b/>
          <w:bCs/>
          <w:color w:val="008080"/>
          <w:sz w:val="36"/>
          <w:szCs w:val="36"/>
        </w:rPr>
        <w:t>5</w:t>
      </w:r>
      <w:r w:rsidRPr="00D46DDB">
        <w:rPr>
          <w:b/>
          <w:bCs/>
          <w:color w:val="008080"/>
          <w:sz w:val="36"/>
          <w:szCs w:val="36"/>
        </w:rPr>
        <w:t xml:space="preserve">. </w:t>
      </w:r>
      <w:r>
        <w:rPr>
          <w:b/>
          <w:bCs/>
          <w:iCs/>
          <w:color w:val="008080"/>
          <w:sz w:val="36"/>
          <w:szCs w:val="36"/>
        </w:rPr>
        <w:t>Escalation process</w:t>
      </w:r>
      <w:r w:rsidRPr="00294161">
        <w:rPr>
          <w:b/>
          <w:bCs/>
          <w:iCs/>
          <w:color w:val="008080"/>
          <w:sz w:val="36"/>
          <w:szCs w:val="36"/>
        </w:rPr>
        <w:t>.</w:t>
      </w:r>
    </w:p>
    <w:p w14:paraId="5291FF43" w14:textId="77777777" w:rsidR="001005A7" w:rsidRDefault="001005A7" w:rsidP="006F5EFD">
      <w:pPr>
        <w:pStyle w:val="Default"/>
        <w:ind w:hanging="142"/>
        <w:rPr>
          <w:b/>
          <w:bCs/>
          <w:iCs/>
          <w:color w:val="008080"/>
          <w:sz w:val="36"/>
          <w:szCs w:val="36"/>
        </w:rPr>
      </w:pPr>
    </w:p>
    <w:p w14:paraId="49D14F12" w14:textId="78B24210" w:rsidR="00DC2002" w:rsidRDefault="00DC2002" w:rsidP="006F5EFD">
      <w:pPr>
        <w:pStyle w:val="Default"/>
        <w:ind w:hanging="142"/>
        <w:rPr>
          <w:rFonts w:ascii="Microsoft New Tai Lue" w:hAnsi="Microsoft New Tai Lue" w:cs="Microsoft New Tai Lue"/>
          <w:iCs/>
          <w:color w:val="auto"/>
        </w:rPr>
      </w:pPr>
      <w:r>
        <w:rPr>
          <w:b/>
          <w:bCs/>
          <w:iCs/>
          <w:color w:val="008080"/>
          <w:sz w:val="36"/>
          <w:szCs w:val="36"/>
        </w:rPr>
        <w:tab/>
      </w:r>
      <w:proofErr w:type="gramStart"/>
      <w:r w:rsidR="001C29CC">
        <w:rPr>
          <w:rFonts w:ascii="Microsoft New Tai Lue" w:hAnsi="Microsoft New Tai Lue" w:cs="Microsoft New Tai Lue"/>
          <w:iCs/>
          <w:color w:val="auto"/>
        </w:rPr>
        <w:t>In the event that</w:t>
      </w:r>
      <w:proofErr w:type="gramEnd"/>
      <w:r w:rsidR="001C29CC">
        <w:rPr>
          <w:rFonts w:ascii="Microsoft New Tai Lue" w:hAnsi="Microsoft New Tai Lue" w:cs="Microsoft New Tai Lue"/>
          <w:iCs/>
          <w:color w:val="auto"/>
        </w:rPr>
        <w:t xml:space="preserve"> </w:t>
      </w:r>
      <w:r w:rsidR="00DD2F7E">
        <w:rPr>
          <w:rFonts w:ascii="Microsoft New Tai Lue" w:hAnsi="Microsoft New Tai Lue" w:cs="Microsoft New Tai Lue"/>
          <w:iCs/>
          <w:color w:val="auto"/>
        </w:rPr>
        <w:t xml:space="preserve">referrers wish to escalate the outcome of a referral for a MHA assessment, </w:t>
      </w:r>
      <w:r w:rsidR="00B146F9">
        <w:rPr>
          <w:rFonts w:ascii="Microsoft New Tai Lue" w:hAnsi="Microsoft New Tai Lue" w:cs="Microsoft New Tai Lue"/>
          <w:iCs/>
          <w:color w:val="auto"/>
        </w:rPr>
        <w:t xml:space="preserve">the first point of contact should be with </w:t>
      </w:r>
      <w:proofErr w:type="spellStart"/>
      <w:r w:rsidR="00B146F9">
        <w:rPr>
          <w:rFonts w:ascii="Microsoft New Tai Lue" w:hAnsi="Microsoft New Tai Lue" w:cs="Microsoft New Tai Lue"/>
          <w:iCs/>
          <w:color w:val="auto"/>
        </w:rPr>
        <w:t>he</w:t>
      </w:r>
      <w:proofErr w:type="spellEnd"/>
      <w:r w:rsidR="00B146F9">
        <w:rPr>
          <w:rFonts w:ascii="Microsoft New Tai Lue" w:hAnsi="Microsoft New Tai Lue" w:cs="Microsoft New Tai Lue"/>
          <w:iCs/>
          <w:color w:val="auto"/>
        </w:rPr>
        <w:t xml:space="preserve"> AMHP who had considered the </w:t>
      </w:r>
      <w:r w:rsidR="00C77935">
        <w:rPr>
          <w:rFonts w:ascii="Microsoft New Tai Lue" w:hAnsi="Microsoft New Tai Lue" w:cs="Microsoft New Tai Lue"/>
          <w:iCs/>
          <w:color w:val="auto"/>
        </w:rPr>
        <w:t xml:space="preserve">referral to have a discussing around the rationale for this outcome. </w:t>
      </w:r>
    </w:p>
    <w:p w14:paraId="4F363DEC" w14:textId="77777777" w:rsidR="004A3A0E" w:rsidRDefault="00C77935" w:rsidP="006F5EFD">
      <w:pPr>
        <w:pStyle w:val="Default"/>
        <w:ind w:hanging="142"/>
        <w:rPr>
          <w:rFonts w:ascii="Microsoft New Tai Lue" w:hAnsi="Microsoft New Tai Lue" w:cs="Microsoft New Tai Lue"/>
          <w:iCs/>
          <w:color w:val="auto"/>
        </w:rPr>
      </w:pPr>
      <w:r>
        <w:rPr>
          <w:rFonts w:ascii="Microsoft New Tai Lue" w:hAnsi="Microsoft New Tai Lue" w:cs="Microsoft New Tai Lue"/>
          <w:iCs/>
          <w:color w:val="auto"/>
        </w:rPr>
        <w:t xml:space="preserve">  The next step, if required, would be to contact the AMHP lead or AMHP service manager to </w:t>
      </w:r>
      <w:r w:rsidR="00E61D3A">
        <w:rPr>
          <w:rFonts w:ascii="Microsoft New Tai Lue" w:hAnsi="Microsoft New Tai Lue" w:cs="Microsoft New Tai Lue"/>
          <w:iCs/>
          <w:color w:val="auto"/>
        </w:rPr>
        <w:t>discuss</w:t>
      </w:r>
      <w:r w:rsidR="004A3A0E">
        <w:rPr>
          <w:rFonts w:ascii="Microsoft New Tai Lue" w:hAnsi="Microsoft New Tai Lue" w:cs="Microsoft New Tai Lue"/>
          <w:iCs/>
          <w:color w:val="auto"/>
        </w:rPr>
        <w:t xml:space="preserve"> matters.</w:t>
      </w:r>
    </w:p>
    <w:p w14:paraId="5EF71ABA" w14:textId="15D96481" w:rsidR="004433B9" w:rsidRDefault="004A3A0E" w:rsidP="006F5EFD">
      <w:pPr>
        <w:pStyle w:val="Default"/>
        <w:ind w:hanging="142"/>
        <w:rPr>
          <w:rFonts w:ascii="Microsoft New Tai Lue" w:hAnsi="Microsoft New Tai Lue" w:cs="Microsoft New Tai Lue"/>
          <w:iCs/>
          <w:color w:val="auto"/>
        </w:rPr>
      </w:pPr>
      <w:r>
        <w:rPr>
          <w:rFonts w:ascii="Microsoft New Tai Lue" w:hAnsi="Microsoft New Tai Lue" w:cs="Microsoft New Tai Lue"/>
          <w:iCs/>
          <w:color w:val="auto"/>
        </w:rPr>
        <w:tab/>
        <w:t xml:space="preserve">If things have not been resolved at this </w:t>
      </w:r>
      <w:r w:rsidR="007B15CC">
        <w:rPr>
          <w:rFonts w:ascii="Microsoft New Tai Lue" w:hAnsi="Microsoft New Tai Lue" w:cs="Microsoft New Tai Lue"/>
          <w:iCs/>
          <w:color w:val="auto"/>
        </w:rPr>
        <w:t>level,</w:t>
      </w:r>
      <w:r>
        <w:rPr>
          <w:rFonts w:ascii="Microsoft New Tai Lue" w:hAnsi="Microsoft New Tai Lue" w:cs="Microsoft New Tai Lue"/>
          <w:iCs/>
          <w:color w:val="auto"/>
        </w:rPr>
        <w:t xml:space="preserve"> it would be expected that the </w:t>
      </w:r>
      <w:r w:rsidR="00012151">
        <w:rPr>
          <w:rFonts w:ascii="Microsoft New Tai Lue" w:hAnsi="Microsoft New Tai Lue" w:cs="Microsoft New Tai Lue"/>
          <w:iCs/>
          <w:color w:val="auto"/>
        </w:rPr>
        <w:t xml:space="preserve">strategic manager of Mental Health services should be brought in to </w:t>
      </w:r>
      <w:r w:rsidR="004433B9">
        <w:rPr>
          <w:rFonts w:ascii="Microsoft New Tai Lue" w:hAnsi="Microsoft New Tai Lue" w:cs="Microsoft New Tai Lue"/>
          <w:iCs/>
          <w:color w:val="auto"/>
        </w:rPr>
        <w:t>lead resolving any conflict.</w:t>
      </w:r>
      <w:r w:rsidR="0042141D">
        <w:rPr>
          <w:rFonts w:ascii="Microsoft New Tai Lue" w:hAnsi="Microsoft New Tai Lue" w:cs="Microsoft New Tai Lue"/>
          <w:iCs/>
          <w:color w:val="auto"/>
        </w:rPr>
        <w:t xml:space="preserve"> </w:t>
      </w:r>
      <w:r w:rsidR="0042141D" w:rsidRPr="0042141D">
        <w:rPr>
          <w:rFonts w:ascii="Microsoft New Tai Lue" w:hAnsi="Microsoft New Tai Lue" w:cs="Microsoft New Tai Lue"/>
          <w:iCs/>
          <w:color w:val="auto"/>
          <w:highlight w:val="yellow"/>
        </w:rPr>
        <w:t xml:space="preserve">(Appendix A: </w:t>
      </w:r>
      <w:r w:rsidR="00964D82">
        <w:rPr>
          <w:rFonts w:ascii="Microsoft New Tai Lue" w:hAnsi="Microsoft New Tai Lue" w:cs="Microsoft New Tai Lue"/>
          <w:iCs/>
          <w:color w:val="auto"/>
          <w:highlight w:val="yellow"/>
        </w:rPr>
        <w:t xml:space="preserve">Add </w:t>
      </w:r>
      <w:r w:rsidR="0042141D" w:rsidRPr="0042141D">
        <w:rPr>
          <w:rFonts w:ascii="Microsoft New Tai Lue" w:hAnsi="Microsoft New Tai Lue" w:cs="Microsoft New Tai Lue"/>
          <w:iCs/>
          <w:color w:val="auto"/>
          <w:highlight w:val="yellow"/>
        </w:rPr>
        <w:t>Escalation process</w:t>
      </w:r>
      <w:r w:rsidR="00964D82">
        <w:rPr>
          <w:rFonts w:ascii="Microsoft New Tai Lue" w:hAnsi="Microsoft New Tai Lue" w:cs="Microsoft New Tai Lue"/>
          <w:iCs/>
          <w:color w:val="auto"/>
          <w:highlight w:val="yellow"/>
        </w:rPr>
        <w:t xml:space="preserve"> once finalised</w:t>
      </w:r>
      <w:r w:rsidR="0042141D" w:rsidRPr="0042141D">
        <w:rPr>
          <w:rFonts w:ascii="Microsoft New Tai Lue" w:hAnsi="Microsoft New Tai Lue" w:cs="Microsoft New Tai Lue"/>
          <w:iCs/>
          <w:color w:val="auto"/>
          <w:highlight w:val="yellow"/>
        </w:rPr>
        <w:t>).</w:t>
      </w:r>
    </w:p>
    <w:p w14:paraId="6CE8BAE5" w14:textId="77777777" w:rsidR="004433B9" w:rsidRDefault="004433B9" w:rsidP="006F5EFD">
      <w:pPr>
        <w:pStyle w:val="Default"/>
        <w:ind w:hanging="142"/>
        <w:rPr>
          <w:rFonts w:ascii="Microsoft New Tai Lue" w:hAnsi="Microsoft New Tai Lue" w:cs="Microsoft New Tai Lue"/>
          <w:iCs/>
          <w:color w:val="auto"/>
        </w:rPr>
      </w:pPr>
    </w:p>
    <w:p w14:paraId="6679408A" w14:textId="1F386939" w:rsidR="00292B38" w:rsidRPr="001C29CC" w:rsidRDefault="004433B9" w:rsidP="00292B38">
      <w:pPr>
        <w:pStyle w:val="Default"/>
        <w:ind w:hanging="142"/>
        <w:rPr>
          <w:rFonts w:ascii="Microsoft New Tai Lue" w:hAnsi="Microsoft New Tai Lue" w:cs="Microsoft New Tai Lue"/>
          <w:iCs/>
          <w:color w:val="auto"/>
        </w:rPr>
      </w:pPr>
      <w:r>
        <w:rPr>
          <w:rFonts w:ascii="Microsoft New Tai Lue" w:hAnsi="Microsoft New Tai Lue" w:cs="Microsoft New Tai Lue"/>
          <w:iCs/>
          <w:color w:val="auto"/>
        </w:rPr>
        <w:tab/>
      </w:r>
      <w:r w:rsidR="007B15CC">
        <w:rPr>
          <w:rFonts w:ascii="Microsoft New Tai Lue" w:hAnsi="Microsoft New Tai Lue" w:cs="Microsoft New Tai Lue"/>
          <w:iCs/>
          <w:color w:val="auto"/>
        </w:rPr>
        <w:t xml:space="preserve">In addition to the process above an interface meeting with </w:t>
      </w:r>
      <w:r w:rsidR="00272553">
        <w:rPr>
          <w:rFonts w:ascii="Microsoft New Tai Lue" w:hAnsi="Microsoft New Tai Lue" w:cs="Microsoft New Tai Lue"/>
          <w:iCs/>
          <w:color w:val="auto"/>
        </w:rPr>
        <w:t xml:space="preserve">Somerset Foundation Trust </w:t>
      </w:r>
      <w:r w:rsidR="00634E91">
        <w:rPr>
          <w:rFonts w:ascii="Microsoft New Tai Lue" w:hAnsi="Microsoft New Tai Lue" w:cs="Microsoft New Tai Lue"/>
          <w:iCs/>
          <w:color w:val="auto"/>
        </w:rPr>
        <w:t xml:space="preserve">health managers will take place on a regular basis to address any concerns and how both services are working together. The aim of this meeting is to avoid the need to escalate matters. </w:t>
      </w:r>
      <w:r w:rsidR="00634E91" w:rsidRPr="00292B38">
        <w:rPr>
          <w:rFonts w:ascii="Microsoft New Tai Lue" w:hAnsi="Microsoft New Tai Lue" w:cs="Microsoft New Tai Lue"/>
          <w:iCs/>
          <w:color w:val="auto"/>
          <w:highlight w:val="yellow"/>
        </w:rPr>
        <w:t>(</w:t>
      </w:r>
      <w:r w:rsidR="00292B38" w:rsidRPr="00292B38">
        <w:rPr>
          <w:rFonts w:ascii="Microsoft New Tai Lue" w:hAnsi="Microsoft New Tai Lue" w:cs="Microsoft New Tai Lue"/>
          <w:iCs/>
          <w:color w:val="auto"/>
          <w:highlight w:val="yellow"/>
        </w:rPr>
        <w:t xml:space="preserve">Appendix </w:t>
      </w:r>
      <w:r w:rsidR="0042141D">
        <w:rPr>
          <w:rFonts w:ascii="Microsoft New Tai Lue" w:hAnsi="Microsoft New Tai Lue" w:cs="Microsoft New Tai Lue"/>
          <w:iCs/>
          <w:color w:val="auto"/>
          <w:highlight w:val="yellow"/>
        </w:rPr>
        <w:t>B</w:t>
      </w:r>
      <w:r w:rsidR="00292B38" w:rsidRPr="00292B38">
        <w:rPr>
          <w:rFonts w:ascii="Microsoft New Tai Lue" w:hAnsi="Microsoft New Tai Lue" w:cs="Microsoft New Tai Lue"/>
          <w:iCs/>
          <w:color w:val="auto"/>
          <w:highlight w:val="yellow"/>
        </w:rPr>
        <w:t xml:space="preserve">: </w:t>
      </w:r>
      <w:r w:rsidR="00964D82">
        <w:rPr>
          <w:rFonts w:ascii="Microsoft New Tai Lue" w:hAnsi="Microsoft New Tai Lue" w:cs="Microsoft New Tai Lue"/>
          <w:iCs/>
          <w:color w:val="auto"/>
          <w:highlight w:val="yellow"/>
        </w:rPr>
        <w:t xml:space="preserve">Add </w:t>
      </w:r>
      <w:r w:rsidR="00292B38" w:rsidRPr="00292B38">
        <w:rPr>
          <w:rFonts w:ascii="Microsoft New Tai Lue" w:hAnsi="Microsoft New Tai Lue" w:cs="Microsoft New Tai Lue"/>
          <w:iCs/>
          <w:color w:val="auto"/>
          <w:highlight w:val="yellow"/>
        </w:rPr>
        <w:t>Terms of Reference</w:t>
      </w:r>
      <w:r w:rsidR="00964D82">
        <w:rPr>
          <w:rFonts w:ascii="Microsoft New Tai Lue" w:hAnsi="Microsoft New Tai Lue" w:cs="Microsoft New Tai Lue"/>
          <w:iCs/>
          <w:color w:val="auto"/>
          <w:highlight w:val="yellow"/>
        </w:rPr>
        <w:t xml:space="preserve"> once finalised</w:t>
      </w:r>
      <w:r w:rsidR="00292B38" w:rsidRPr="00292B38">
        <w:rPr>
          <w:rFonts w:ascii="Microsoft New Tai Lue" w:hAnsi="Microsoft New Tai Lue" w:cs="Microsoft New Tai Lue"/>
          <w:iCs/>
          <w:color w:val="auto"/>
          <w:highlight w:val="yellow"/>
        </w:rPr>
        <w:t>)</w:t>
      </w:r>
    </w:p>
    <w:p w14:paraId="4A793F6C" w14:textId="77777777" w:rsidR="006F5EFD" w:rsidRDefault="006F5EFD" w:rsidP="00292B38">
      <w:pPr>
        <w:pStyle w:val="Default"/>
        <w:rPr>
          <w:color w:val="auto"/>
        </w:rPr>
      </w:pPr>
    </w:p>
    <w:p w14:paraId="342663E1" w14:textId="77777777" w:rsidR="00BD2620" w:rsidRDefault="00BD2620" w:rsidP="00D46DDB">
      <w:pPr>
        <w:pStyle w:val="Default"/>
        <w:ind w:hanging="142"/>
        <w:rPr>
          <w:color w:val="auto"/>
        </w:rPr>
      </w:pPr>
    </w:p>
    <w:p w14:paraId="277CA300" w14:textId="77915508" w:rsidR="00484543" w:rsidRDefault="003101B2" w:rsidP="00484543">
      <w:pPr>
        <w:pStyle w:val="Default"/>
        <w:ind w:hanging="142"/>
        <w:rPr>
          <w:b/>
          <w:bCs/>
          <w:iCs/>
          <w:color w:val="008080"/>
          <w:sz w:val="36"/>
          <w:szCs w:val="36"/>
        </w:rPr>
      </w:pPr>
      <w:bookmarkStart w:id="0" w:name="_Hlk152237435"/>
      <w:r>
        <w:rPr>
          <w:b/>
          <w:bCs/>
          <w:color w:val="008080"/>
          <w:sz w:val="36"/>
          <w:szCs w:val="36"/>
        </w:rPr>
        <w:t>6</w:t>
      </w:r>
      <w:r w:rsidR="00D1185C" w:rsidRPr="00D46DDB">
        <w:rPr>
          <w:b/>
          <w:bCs/>
          <w:color w:val="008080"/>
          <w:sz w:val="36"/>
          <w:szCs w:val="36"/>
        </w:rPr>
        <w:t xml:space="preserve">. </w:t>
      </w:r>
      <w:r w:rsidR="00294161" w:rsidRPr="00294161">
        <w:rPr>
          <w:b/>
          <w:bCs/>
          <w:iCs/>
          <w:color w:val="008080"/>
          <w:sz w:val="36"/>
          <w:szCs w:val="36"/>
        </w:rPr>
        <w:t>Location of service and operating hours.</w:t>
      </w:r>
    </w:p>
    <w:bookmarkEnd w:id="0"/>
    <w:p w14:paraId="75BA4262" w14:textId="77777777" w:rsidR="00484543" w:rsidRDefault="00484543" w:rsidP="00484543">
      <w:pPr>
        <w:pStyle w:val="Default"/>
        <w:ind w:hanging="142"/>
        <w:rPr>
          <w:b/>
          <w:bCs/>
          <w:iCs/>
          <w:color w:val="008080"/>
          <w:sz w:val="36"/>
          <w:szCs w:val="36"/>
        </w:rPr>
      </w:pPr>
    </w:p>
    <w:p w14:paraId="6E0396FA" w14:textId="77777777" w:rsidR="003625B9" w:rsidRDefault="00484543" w:rsidP="003625B9">
      <w:pPr>
        <w:pStyle w:val="Default"/>
        <w:ind w:left="142" w:hanging="142"/>
        <w:rPr>
          <w:rFonts w:ascii="Microsoft New Tai Lue" w:hAnsi="Microsoft New Tai Lue" w:cs="Microsoft New Tai Lue"/>
          <w:bCs/>
          <w:iCs/>
        </w:rPr>
      </w:pPr>
      <w:r w:rsidRPr="00484543">
        <w:rPr>
          <w:rFonts w:ascii="Microsoft New Tai Lue" w:hAnsi="Microsoft New Tai Lue" w:cs="Microsoft New Tai Lue"/>
          <w:bCs/>
          <w:iCs/>
        </w:rPr>
        <w:t xml:space="preserve">The Hub AMHP team </w:t>
      </w:r>
      <w:proofErr w:type="gramStart"/>
      <w:r w:rsidRPr="00484543">
        <w:rPr>
          <w:rFonts w:ascii="Microsoft New Tai Lue" w:hAnsi="Microsoft New Tai Lue" w:cs="Microsoft New Tai Lue"/>
          <w:bCs/>
          <w:iCs/>
        </w:rPr>
        <w:t>is located in</w:t>
      </w:r>
      <w:proofErr w:type="gramEnd"/>
      <w:r w:rsidRPr="00484543">
        <w:rPr>
          <w:rFonts w:ascii="Microsoft New Tai Lue" w:hAnsi="Microsoft New Tai Lue" w:cs="Microsoft New Tai Lue"/>
          <w:bCs/>
          <w:iCs/>
        </w:rPr>
        <w:t xml:space="preserve"> Taunton at the Wellsprings Hospital site,</w:t>
      </w:r>
    </w:p>
    <w:p w14:paraId="37C6A076" w14:textId="1EB3AD14" w:rsidR="00484543" w:rsidRPr="00484543" w:rsidRDefault="00484543" w:rsidP="003625B9">
      <w:pPr>
        <w:pStyle w:val="Default"/>
        <w:ind w:left="142" w:hanging="142"/>
        <w:rPr>
          <w:rFonts w:ascii="Microsoft New Tai Lue" w:hAnsi="Microsoft New Tai Lue" w:cs="Microsoft New Tai Lue"/>
          <w:bCs/>
          <w:iCs/>
        </w:rPr>
      </w:pPr>
      <w:r w:rsidRPr="00484543">
        <w:rPr>
          <w:rFonts w:ascii="Microsoft New Tai Lue" w:hAnsi="Microsoft New Tai Lue" w:cs="Microsoft New Tai Lue"/>
          <w:bCs/>
          <w:iCs/>
        </w:rPr>
        <w:t>telephone</w:t>
      </w:r>
      <w:r w:rsidR="003625B9">
        <w:rPr>
          <w:rFonts w:ascii="Microsoft New Tai Lue" w:hAnsi="Microsoft New Tai Lue" w:cs="Microsoft New Tai Lue"/>
          <w:bCs/>
          <w:iCs/>
        </w:rPr>
        <w:t xml:space="preserve"> </w:t>
      </w:r>
      <w:r w:rsidRPr="00484543">
        <w:rPr>
          <w:rFonts w:ascii="Microsoft New Tai Lue" w:hAnsi="Microsoft New Tai Lue" w:cs="Microsoft New Tai Lue"/>
          <w:bCs/>
          <w:iCs/>
        </w:rPr>
        <w:t>number 01823 368244 but cover the entire county of Somerset.</w:t>
      </w:r>
    </w:p>
    <w:p w14:paraId="5B1FEE20" w14:textId="77777777" w:rsidR="00484543" w:rsidRDefault="00484543" w:rsidP="006844D0">
      <w:pPr>
        <w:pStyle w:val="Default"/>
        <w:ind w:left="142" w:hanging="142"/>
        <w:rPr>
          <w:rFonts w:ascii="Microsoft New Tai Lue" w:hAnsi="Microsoft New Tai Lue" w:cs="Microsoft New Tai Lue"/>
          <w:bCs/>
          <w:iCs/>
          <w:color w:val="auto"/>
          <w:lang w:eastAsia="en-US"/>
        </w:rPr>
      </w:pPr>
      <w:r w:rsidRPr="00484543">
        <w:rPr>
          <w:rFonts w:ascii="Microsoft New Tai Lue" w:hAnsi="Microsoft New Tai Lue" w:cs="Microsoft New Tai Lue"/>
          <w:bCs/>
          <w:iCs/>
          <w:color w:val="auto"/>
          <w:lang w:eastAsia="en-US"/>
        </w:rPr>
        <w:t xml:space="preserve">The Somerset AMHP service is </w:t>
      </w:r>
      <w:proofErr w:type="gramStart"/>
      <w:r w:rsidRPr="00484543">
        <w:rPr>
          <w:rFonts w:ascii="Microsoft New Tai Lue" w:hAnsi="Microsoft New Tai Lue" w:cs="Microsoft New Tai Lue"/>
          <w:bCs/>
          <w:iCs/>
          <w:color w:val="auto"/>
          <w:lang w:eastAsia="en-US"/>
        </w:rPr>
        <w:t>a 24 hours</w:t>
      </w:r>
      <w:proofErr w:type="gramEnd"/>
      <w:r w:rsidRPr="00484543">
        <w:rPr>
          <w:rFonts w:ascii="Microsoft New Tai Lue" w:hAnsi="Microsoft New Tai Lue" w:cs="Microsoft New Tai Lue"/>
          <w:bCs/>
          <w:iCs/>
          <w:color w:val="auto"/>
          <w:lang w:eastAsia="en-US"/>
        </w:rPr>
        <w:t xml:space="preserve"> a day, 7 days a week, 365 days a year</w:t>
      </w:r>
    </w:p>
    <w:p w14:paraId="446C1692" w14:textId="6C0D73CA" w:rsidR="00D1185C" w:rsidRDefault="00484543" w:rsidP="006844D0">
      <w:pPr>
        <w:pStyle w:val="Default"/>
        <w:ind w:left="142" w:hanging="142"/>
        <w:rPr>
          <w:rFonts w:ascii="Microsoft New Tai Lue" w:hAnsi="Microsoft New Tai Lue" w:cs="Microsoft New Tai Lue"/>
          <w:bCs/>
          <w:iCs/>
          <w:color w:val="auto"/>
          <w:lang w:eastAsia="en-US"/>
        </w:rPr>
      </w:pPr>
      <w:r w:rsidRPr="00484543">
        <w:rPr>
          <w:rFonts w:ascii="Microsoft New Tai Lue" w:hAnsi="Microsoft New Tai Lue" w:cs="Microsoft New Tai Lue"/>
          <w:bCs/>
          <w:iCs/>
          <w:color w:val="auto"/>
          <w:lang w:eastAsia="en-US"/>
        </w:rPr>
        <w:t>service.</w:t>
      </w:r>
    </w:p>
    <w:p w14:paraId="5A722A3D" w14:textId="7B9582D2" w:rsidR="008C7D58" w:rsidRDefault="008C7D58" w:rsidP="006844D0">
      <w:pPr>
        <w:pStyle w:val="Default"/>
        <w:ind w:left="142" w:hanging="142"/>
        <w:rPr>
          <w:rFonts w:ascii="Microsoft New Tai Lue" w:hAnsi="Microsoft New Tai Lue" w:cs="Microsoft New Tai Lue"/>
          <w:bCs/>
          <w:iCs/>
          <w:color w:val="auto"/>
          <w:lang w:eastAsia="en-US"/>
        </w:rPr>
      </w:pPr>
    </w:p>
    <w:p w14:paraId="57343E1B" w14:textId="77777777" w:rsidR="00FC3AC7" w:rsidRDefault="008C7D58" w:rsidP="00FC3AC7">
      <w:pPr>
        <w:pStyle w:val="Default"/>
        <w:ind w:left="142" w:hanging="142"/>
        <w:rPr>
          <w:rFonts w:ascii="Microsoft New Tai Lue" w:hAnsi="Microsoft New Tai Lue" w:cs="Microsoft New Tai Lue"/>
          <w:bCs/>
          <w:iCs/>
          <w:color w:val="auto"/>
          <w:lang w:eastAsia="en-US"/>
        </w:rPr>
      </w:pPr>
      <w:r>
        <w:rPr>
          <w:rFonts w:ascii="Microsoft New Tai Lue" w:hAnsi="Microsoft New Tai Lue" w:cs="Microsoft New Tai Lue"/>
          <w:bCs/>
          <w:iCs/>
          <w:color w:val="auto"/>
          <w:lang w:eastAsia="en-US"/>
        </w:rPr>
        <w:t xml:space="preserve">The service is operated using a rolling rota </w:t>
      </w:r>
      <w:r w:rsidR="008162EA">
        <w:rPr>
          <w:rFonts w:ascii="Microsoft New Tai Lue" w:hAnsi="Microsoft New Tai Lue" w:cs="Microsoft New Tai Lue"/>
          <w:bCs/>
          <w:iCs/>
          <w:color w:val="auto"/>
          <w:lang w:eastAsia="en-US"/>
        </w:rPr>
        <w:t xml:space="preserve">of AMHPs </w:t>
      </w:r>
      <w:r w:rsidR="005E3ED5">
        <w:rPr>
          <w:rFonts w:ascii="Microsoft New Tai Lue" w:hAnsi="Microsoft New Tai Lue" w:cs="Microsoft New Tai Lue"/>
          <w:bCs/>
          <w:iCs/>
          <w:color w:val="auto"/>
          <w:lang w:eastAsia="en-US"/>
        </w:rPr>
        <w:t xml:space="preserve">working a variety of </w:t>
      </w:r>
      <w:r w:rsidR="00FC3AC7">
        <w:rPr>
          <w:rFonts w:ascii="Microsoft New Tai Lue" w:hAnsi="Microsoft New Tai Lue" w:cs="Microsoft New Tai Lue"/>
          <w:bCs/>
          <w:iCs/>
          <w:color w:val="auto"/>
          <w:lang w:eastAsia="en-US"/>
        </w:rPr>
        <w:t>shifts,</w:t>
      </w:r>
    </w:p>
    <w:p w14:paraId="4CB44EBE" w14:textId="77777777" w:rsidR="00FC3AC7" w:rsidRDefault="00FC3AC7" w:rsidP="00FC3AC7">
      <w:pPr>
        <w:pStyle w:val="Default"/>
        <w:ind w:left="142" w:hanging="142"/>
        <w:rPr>
          <w:rFonts w:ascii="Microsoft New Tai Lue" w:hAnsi="Microsoft New Tai Lue" w:cs="Microsoft New Tai Lue"/>
          <w:bCs/>
          <w:iCs/>
          <w:color w:val="auto"/>
          <w:lang w:eastAsia="en-US"/>
        </w:rPr>
      </w:pPr>
      <w:r>
        <w:rPr>
          <w:rFonts w:ascii="Microsoft New Tai Lue" w:hAnsi="Microsoft New Tai Lue" w:cs="Microsoft New Tai Lue"/>
          <w:bCs/>
          <w:iCs/>
          <w:color w:val="auto"/>
          <w:lang w:eastAsia="en-US"/>
        </w:rPr>
        <w:t>which</w:t>
      </w:r>
      <w:r w:rsidR="00A113F4">
        <w:rPr>
          <w:rFonts w:ascii="Microsoft New Tai Lue" w:hAnsi="Microsoft New Tai Lue" w:cs="Microsoft New Tai Lue"/>
          <w:bCs/>
          <w:iCs/>
          <w:color w:val="auto"/>
          <w:lang w:eastAsia="en-US"/>
        </w:rPr>
        <w:t xml:space="preserve"> adheres to the </w:t>
      </w:r>
      <w:r w:rsidR="00A41E11">
        <w:rPr>
          <w:rFonts w:ascii="Microsoft New Tai Lue" w:hAnsi="Microsoft New Tai Lue" w:cs="Microsoft New Tai Lue"/>
          <w:bCs/>
          <w:iCs/>
          <w:color w:val="auto"/>
          <w:lang w:eastAsia="en-US"/>
        </w:rPr>
        <w:t>working time directive</w:t>
      </w:r>
      <w:r w:rsidR="00F4230F">
        <w:rPr>
          <w:rFonts w:ascii="Microsoft New Tai Lue" w:hAnsi="Microsoft New Tai Lue" w:cs="Microsoft New Tai Lue"/>
          <w:bCs/>
          <w:iCs/>
          <w:color w:val="auto"/>
          <w:lang w:eastAsia="en-US"/>
        </w:rPr>
        <w:t xml:space="preserve"> which requires a minimum </w:t>
      </w:r>
      <w:r w:rsidR="009D06A6">
        <w:rPr>
          <w:rFonts w:ascii="Microsoft New Tai Lue" w:hAnsi="Microsoft New Tai Lue" w:cs="Microsoft New Tai Lue"/>
          <w:bCs/>
          <w:iCs/>
          <w:color w:val="auto"/>
          <w:lang w:eastAsia="en-US"/>
        </w:rPr>
        <w:t>number</w:t>
      </w:r>
      <w:r w:rsidR="00E434C9">
        <w:rPr>
          <w:rFonts w:ascii="Microsoft New Tai Lue" w:hAnsi="Microsoft New Tai Lue" w:cs="Microsoft New Tai Lue"/>
          <w:bCs/>
          <w:iCs/>
          <w:color w:val="auto"/>
          <w:lang w:eastAsia="en-US"/>
        </w:rPr>
        <w:t xml:space="preserve"> of</w:t>
      </w:r>
    </w:p>
    <w:p w14:paraId="61ED9701" w14:textId="77777777" w:rsidR="00FC3AC7" w:rsidRDefault="00F4230F" w:rsidP="00FC3AC7">
      <w:pPr>
        <w:pStyle w:val="Default"/>
        <w:ind w:left="142" w:hanging="142"/>
        <w:rPr>
          <w:rFonts w:ascii="Microsoft New Tai Lue" w:hAnsi="Microsoft New Tai Lue" w:cs="Microsoft New Tai Lue"/>
          <w:bCs/>
          <w:iCs/>
          <w:color w:val="auto"/>
          <w:lang w:eastAsia="en-US"/>
        </w:rPr>
      </w:pPr>
      <w:r>
        <w:rPr>
          <w:rFonts w:ascii="Microsoft New Tai Lue" w:hAnsi="Microsoft New Tai Lue" w:cs="Microsoft New Tai Lue"/>
          <w:bCs/>
          <w:iCs/>
          <w:color w:val="auto"/>
          <w:lang w:eastAsia="en-US"/>
        </w:rPr>
        <w:t xml:space="preserve">hours between shifts. The AMHP service manager </w:t>
      </w:r>
      <w:proofErr w:type="spellStart"/>
      <w:r>
        <w:rPr>
          <w:rFonts w:ascii="Microsoft New Tai Lue" w:hAnsi="Microsoft New Tai Lue" w:cs="Microsoft New Tai Lue"/>
          <w:bCs/>
          <w:iCs/>
          <w:color w:val="auto"/>
          <w:lang w:eastAsia="en-US"/>
        </w:rPr>
        <w:t>oversee’s</w:t>
      </w:r>
      <w:proofErr w:type="spellEnd"/>
      <w:r>
        <w:rPr>
          <w:rFonts w:ascii="Microsoft New Tai Lue" w:hAnsi="Microsoft New Tai Lue" w:cs="Microsoft New Tai Lue"/>
          <w:bCs/>
          <w:iCs/>
          <w:color w:val="auto"/>
          <w:lang w:eastAsia="en-US"/>
        </w:rPr>
        <w:t xml:space="preserve"> the rota </w:t>
      </w:r>
      <w:r w:rsidR="007A1ACB">
        <w:rPr>
          <w:rFonts w:ascii="Microsoft New Tai Lue" w:hAnsi="Microsoft New Tai Lue" w:cs="Microsoft New Tai Lue"/>
          <w:bCs/>
          <w:iCs/>
          <w:color w:val="auto"/>
          <w:lang w:eastAsia="en-US"/>
        </w:rPr>
        <w:t xml:space="preserve">with </w:t>
      </w:r>
      <w:r w:rsidR="00913B6D">
        <w:rPr>
          <w:rFonts w:ascii="Microsoft New Tai Lue" w:hAnsi="Microsoft New Tai Lue" w:cs="Microsoft New Tai Lue"/>
          <w:bCs/>
          <w:iCs/>
          <w:color w:val="auto"/>
          <w:lang w:eastAsia="en-US"/>
        </w:rPr>
        <w:t>staff</w:t>
      </w:r>
    </w:p>
    <w:p w14:paraId="2B9C69DE" w14:textId="77777777" w:rsidR="00FC3AC7" w:rsidRDefault="007A1ACB" w:rsidP="00FC3AC7">
      <w:pPr>
        <w:pStyle w:val="Default"/>
        <w:ind w:left="142" w:hanging="142"/>
        <w:rPr>
          <w:rFonts w:ascii="Microsoft New Tai Lue" w:hAnsi="Microsoft New Tai Lue" w:cs="Microsoft New Tai Lue"/>
          <w:bCs/>
          <w:iCs/>
          <w:color w:val="auto"/>
          <w:lang w:eastAsia="en-US"/>
        </w:rPr>
      </w:pPr>
      <w:r>
        <w:rPr>
          <w:rFonts w:ascii="Microsoft New Tai Lue" w:hAnsi="Microsoft New Tai Lue" w:cs="Microsoft New Tai Lue"/>
          <w:bCs/>
          <w:iCs/>
          <w:color w:val="auto"/>
          <w:lang w:eastAsia="en-US"/>
        </w:rPr>
        <w:lastRenderedPageBreak/>
        <w:t>members</w:t>
      </w:r>
      <w:r w:rsidR="00913B6D">
        <w:rPr>
          <w:rFonts w:ascii="Microsoft New Tai Lue" w:hAnsi="Microsoft New Tai Lue" w:cs="Microsoft New Tai Lue"/>
          <w:bCs/>
          <w:iCs/>
          <w:color w:val="auto"/>
          <w:lang w:eastAsia="en-US"/>
        </w:rPr>
        <w:t xml:space="preserve"> wellbeing and safety </w:t>
      </w:r>
      <w:r>
        <w:rPr>
          <w:rFonts w:ascii="Microsoft New Tai Lue" w:hAnsi="Microsoft New Tai Lue" w:cs="Microsoft New Tai Lue"/>
          <w:bCs/>
          <w:iCs/>
          <w:color w:val="auto"/>
          <w:lang w:eastAsia="en-US"/>
        </w:rPr>
        <w:t>in mind</w:t>
      </w:r>
      <w:r w:rsidR="009D06A6">
        <w:rPr>
          <w:rFonts w:ascii="Microsoft New Tai Lue" w:hAnsi="Microsoft New Tai Lue" w:cs="Microsoft New Tai Lue"/>
          <w:bCs/>
          <w:iCs/>
          <w:color w:val="auto"/>
          <w:lang w:eastAsia="en-US"/>
        </w:rPr>
        <w:t xml:space="preserve"> and ensures that staff members </w:t>
      </w:r>
      <w:r w:rsidR="00E434C9">
        <w:rPr>
          <w:rFonts w:ascii="Microsoft New Tai Lue" w:hAnsi="Microsoft New Tai Lue" w:cs="Microsoft New Tai Lue"/>
          <w:bCs/>
          <w:iCs/>
          <w:color w:val="auto"/>
          <w:lang w:eastAsia="en-US"/>
        </w:rPr>
        <w:t xml:space="preserve">have </w:t>
      </w:r>
      <w:proofErr w:type="gramStart"/>
      <w:r w:rsidR="00E434C9">
        <w:rPr>
          <w:rFonts w:ascii="Microsoft New Tai Lue" w:hAnsi="Microsoft New Tai Lue" w:cs="Microsoft New Tai Lue"/>
          <w:bCs/>
          <w:iCs/>
          <w:color w:val="auto"/>
          <w:lang w:eastAsia="en-US"/>
        </w:rPr>
        <w:t>enough</w:t>
      </w:r>
      <w:proofErr w:type="gramEnd"/>
    </w:p>
    <w:p w14:paraId="7A354BCC" w14:textId="556C022D" w:rsidR="008C7D58" w:rsidRDefault="00E434C9" w:rsidP="00FC3AC7">
      <w:pPr>
        <w:pStyle w:val="Default"/>
        <w:ind w:left="142" w:hanging="142"/>
        <w:rPr>
          <w:rFonts w:ascii="Microsoft New Tai Lue" w:hAnsi="Microsoft New Tai Lue" w:cs="Microsoft New Tai Lue"/>
          <w:bCs/>
          <w:iCs/>
          <w:color w:val="auto"/>
          <w:lang w:eastAsia="en-US"/>
        </w:rPr>
      </w:pPr>
      <w:r>
        <w:rPr>
          <w:rFonts w:ascii="Microsoft New Tai Lue" w:hAnsi="Microsoft New Tai Lue" w:cs="Microsoft New Tai Lue"/>
          <w:bCs/>
          <w:iCs/>
          <w:color w:val="auto"/>
          <w:lang w:eastAsia="en-US"/>
        </w:rPr>
        <w:t xml:space="preserve">recovery time between </w:t>
      </w:r>
      <w:r w:rsidR="00C165F6">
        <w:rPr>
          <w:rFonts w:ascii="Microsoft New Tai Lue" w:hAnsi="Microsoft New Tai Lue" w:cs="Microsoft New Tai Lue"/>
          <w:bCs/>
          <w:iCs/>
          <w:color w:val="auto"/>
          <w:lang w:eastAsia="en-US"/>
        </w:rPr>
        <w:t>shifts, especially when working overnights.</w:t>
      </w:r>
    </w:p>
    <w:p w14:paraId="649A6A27" w14:textId="77777777" w:rsidR="00993437" w:rsidRDefault="00993437" w:rsidP="00A168FE">
      <w:pPr>
        <w:pStyle w:val="Default"/>
        <w:ind w:left="142" w:hanging="142"/>
        <w:rPr>
          <w:rFonts w:ascii="Microsoft New Tai Lue" w:hAnsi="Microsoft New Tai Lue" w:cs="Microsoft New Tai Lue"/>
          <w:bCs/>
          <w:iCs/>
          <w:color w:val="auto"/>
          <w:lang w:eastAsia="en-US"/>
        </w:rPr>
      </w:pPr>
    </w:p>
    <w:p w14:paraId="6033569C" w14:textId="77777777" w:rsidR="00FC3AC7" w:rsidRDefault="00993437" w:rsidP="00A168FE">
      <w:pPr>
        <w:pStyle w:val="Default"/>
        <w:ind w:left="142" w:hanging="142"/>
        <w:rPr>
          <w:rFonts w:ascii="Microsoft New Tai Lue" w:hAnsi="Microsoft New Tai Lue" w:cs="Microsoft New Tai Lue"/>
          <w:bCs/>
          <w:iCs/>
          <w:color w:val="auto"/>
          <w:lang w:eastAsia="en-US"/>
        </w:rPr>
      </w:pPr>
      <w:r>
        <w:rPr>
          <w:rFonts w:ascii="Microsoft New Tai Lue" w:hAnsi="Microsoft New Tai Lue" w:cs="Microsoft New Tai Lue"/>
          <w:bCs/>
          <w:iCs/>
          <w:color w:val="auto"/>
          <w:lang w:eastAsia="en-US"/>
        </w:rPr>
        <w:t xml:space="preserve">If staff work overtime as an additional shift or if their working shift </w:t>
      </w:r>
      <w:r w:rsidR="00C56CCE">
        <w:rPr>
          <w:rFonts w:ascii="Microsoft New Tai Lue" w:hAnsi="Microsoft New Tai Lue" w:cs="Microsoft New Tai Lue"/>
          <w:bCs/>
          <w:iCs/>
          <w:color w:val="auto"/>
          <w:lang w:eastAsia="en-US"/>
        </w:rPr>
        <w:t>overruns</w:t>
      </w:r>
      <w:r>
        <w:rPr>
          <w:rFonts w:ascii="Microsoft New Tai Lue" w:hAnsi="Microsoft New Tai Lue" w:cs="Microsoft New Tai Lue"/>
          <w:bCs/>
          <w:iCs/>
          <w:color w:val="auto"/>
          <w:lang w:eastAsia="en-US"/>
        </w:rPr>
        <w:t xml:space="preserve"> for any</w:t>
      </w:r>
    </w:p>
    <w:p w14:paraId="516B3FBE" w14:textId="77777777" w:rsidR="00FC3AC7" w:rsidRDefault="00993437" w:rsidP="00A168FE">
      <w:pPr>
        <w:pStyle w:val="Default"/>
        <w:ind w:left="142" w:hanging="142"/>
        <w:rPr>
          <w:rFonts w:ascii="Microsoft New Tai Lue" w:hAnsi="Microsoft New Tai Lue" w:cs="Microsoft New Tai Lue"/>
          <w:bCs/>
          <w:iCs/>
          <w:color w:val="auto"/>
          <w:lang w:eastAsia="en-US"/>
        </w:rPr>
      </w:pPr>
      <w:r>
        <w:rPr>
          <w:rFonts w:ascii="Microsoft New Tai Lue" w:hAnsi="Microsoft New Tai Lue" w:cs="Microsoft New Tai Lue"/>
          <w:bCs/>
          <w:iCs/>
          <w:color w:val="auto"/>
          <w:lang w:eastAsia="en-US"/>
        </w:rPr>
        <w:t>reason</w:t>
      </w:r>
      <w:r w:rsidR="00C56CCE">
        <w:rPr>
          <w:rFonts w:ascii="Microsoft New Tai Lue" w:hAnsi="Microsoft New Tai Lue" w:cs="Microsoft New Tai Lue"/>
          <w:bCs/>
          <w:iCs/>
          <w:color w:val="auto"/>
          <w:lang w:eastAsia="en-US"/>
        </w:rPr>
        <w:t>, staff should claim the relevant enhancement via a claim form and forward to</w:t>
      </w:r>
    </w:p>
    <w:p w14:paraId="57E5C63C" w14:textId="2AA445F8" w:rsidR="00FC3AC7" w:rsidRPr="00042099" w:rsidRDefault="00C56CCE" w:rsidP="00A168FE">
      <w:pPr>
        <w:pStyle w:val="Default"/>
        <w:ind w:left="142" w:hanging="142"/>
        <w:rPr>
          <w:rFonts w:ascii="Microsoft New Tai Lue" w:hAnsi="Microsoft New Tai Lue" w:cs="Microsoft New Tai Lue"/>
          <w:bCs/>
          <w:iCs/>
          <w:color w:val="auto"/>
          <w:lang w:eastAsia="en-US"/>
        </w:rPr>
      </w:pPr>
      <w:r>
        <w:rPr>
          <w:rFonts w:ascii="Microsoft New Tai Lue" w:hAnsi="Microsoft New Tai Lue" w:cs="Microsoft New Tai Lue"/>
          <w:bCs/>
          <w:iCs/>
          <w:color w:val="auto"/>
          <w:lang w:eastAsia="en-US"/>
        </w:rPr>
        <w:t xml:space="preserve">the AMHP service manager for signing off. </w:t>
      </w:r>
      <w:r w:rsidRPr="00042099">
        <w:rPr>
          <w:rFonts w:ascii="Microsoft New Tai Lue" w:hAnsi="Microsoft New Tai Lue" w:cs="Microsoft New Tai Lue"/>
          <w:bCs/>
          <w:iCs/>
          <w:color w:val="auto"/>
          <w:lang w:eastAsia="en-US"/>
        </w:rPr>
        <w:t xml:space="preserve">(Appendix </w:t>
      </w:r>
      <w:r w:rsidR="0042141D" w:rsidRPr="00042099">
        <w:rPr>
          <w:rFonts w:ascii="Microsoft New Tai Lue" w:hAnsi="Microsoft New Tai Lue" w:cs="Microsoft New Tai Lue"/>
          <w:bCs/>
          <w:iCs/>
          <w:color w:val="auto"/>
          <w:lang w:eastAsia="en-US"/>
        </w:rPr>
        <w:t>C</w:t>
      </w:r>
      <w:r w:rsidRPr="00042099">
        <w:rPr>
          <w:rFonts w:ascii="Microsoft New Tai Lue" w:hAnsi="Microsoft New Tai Lue" w:cs="Microsoft New Tai Lue"/>
          <w:bCs/>
          <w:iCs/>
          <w:color w:val="auto"/>
          <w:lang w:eastAsia="en-US"/>
        </w:rPr>
        <w:t>: AMHP service</w:t>
      </w:r>
    </w:p>
    <w:p w14:paraId="4BBFF704" w14:textId="36117C99" w:rsidR="00993437" w:rsidRDefault="00C56CCE" w:rsidP="00A168FE">
      <w:pPr>
        <w:pStyle w:val="Default"/>
        <w:ind w:left="142" w:hanging="142"/>
        <w:rPr>
          <w:color w:val="auto"/>
        </w:rPr>
      </w:pPr>
      <w:r w:rsidRPr="00042099">
        <w:rPr>
          <w:rFonts w:ascii="Microsoft New Tai Lue" w:hAnsi="Microsoft New Tai Lue" w:cs="Microsoft New Tai Lue"/>
          <w:bCs/>
          <w:iCs/>
          <w:color w:val="auto"/>
          <w:lang w:eastAsia="en-US"/>
        </w:rPr>
        <w:t>enhancements)</w:t>
      </w:r>
    </w:p>
    <w:p w14:paraId="1B4E97D0" w14:textId="77777777" w:rsidR="004608D1" w:rsidRDefault="004608D1" w:rsidP="00D46DDB">
      <w:pPr>
        <w:pStyle w:val="Default"/>
        <w:ind w:hanging="142"/>
        <w:rPr>
          <w:color w:val="auto"/>
        </w:rPr>
      </w:pPr>
    </w:p>
    <w:p w14:paraId="276EC7E7" w14:textId="2141511A" w:rsidR="006837CE" w:rsidRDefault="008162EA" w:rsidP="00445D0D">
      <w:pPr>
        <w:pStyle w:val="Default"/>
        <w:ind w:hanging="142"/>
        <w:rPr>
          <w:b/>
          <w:bCs/>
          <w:iCs/>
          <w:color w:val="008080"/>
          <w:sz w:val="36"/>
          <w:szCs w:val="36"/>
        </w:rPr>
      </w:pPr>
      <w:r>
        <w:rPr>
          <w:b/>
          <w:bCs/>
          <w:color w:val="008080"/>
          <w:sz w:val="36"/>
          <w:szCs w:val="36"/>
        </w:rPr>
        <w:t>7</w:t>
      </w:r>
      <w:r w:rsidR="004608D1" w:rsidRPr="00D46DDB">
        <w:rPr>
          <w:b/>
          <w:bCs/>
          <w:color w:val="008080"/>
          <w:sz w:val="36"/>
          <w:szCs w:val="36"/>
        </w:rPr>
        <w:t xml:space="preserve">. </w:t>
      </w:r>
      <w:r w:rsidR="00445D0D" w:rsidRPr="00445D0D">
        <w:rPr>
          <w:b/>
          <w:bCs/>
          <w:iCs/>
          <w:color w:val="008080"/>
          <w:sz w:val="36"/>
          <w:szCs w:val="36"/>
        </w:rPr>
        <w:t>Staffing Arrangements.</w:t>
      </w:r>
    </w:p>
    <w:p w14:paraId="33F12A44" w14:textId="77777777" w:rsidR="001005A7" w:rsidRDefault="001005A7" w:rsidP="00445D0D">
      <w:pPr>
        <w:pStyle w:val="Default"/>
        <w:ind w:hanging="142"/>
        <w:rPr>
          <w:b/>
          <w:bCs/>
          <w:color w:val="008080"/>
          <w:sz w:val="36"/>
          <w:szCs w:val="36"/>
        </w:rPr>
      </w:pPr>
    </w:p>
    <w:p w14:paraId="76DD3333" w14:textId="77777777" w:rsidR="006844D0" w:rsidRPr="006844D0" w:rsidRDefault="006844D0" w:rsidP="006844D0">
      <w:pPr>
        <w:spacing w:beforeLines="60" w:before="144" w:afterLines="60" w:after="144" w:line="240" w:lineRule="auto"/>
        <w:rPr>
          <w:rFonts w:ascii="Microsoft New Tai Lue" w:eastAsia="Times New Roman" w:hAnsi="Microsoft New Tai Lue" w:cs="Microsoft New Tai Lue"/>
          <w:i/>
          <w:sz w:val="24"/>
          <w:szCs w:val="24"/>
        </w:rPr>
      </w:pPr>
      <w:r w:rsidRPr="006844D0">
        <w:rPr>
          <w:rFonts w:ascii="Microsoft New Tai Lue" w:eastAsia="Times New Roman" w:hAnsi="Microsoft New Tai Lue" w:cs="Microsoft New Tai Lue"/>
          <w:sz w:val="24"/>
          <w:szCs w:val="24"/>
        </w:rPr>
        <w:t>The AMHP hub consists of:</w:t>
      </w:r>
    </w:p>
    <w:p w14:paraId="1F022789" w14:textId="77777777" w:rsidR="006844D0" w:rsidRPr="006844D0" w:rsidRDefault="006844D0" w:rsidP="006844D0">
      <w:pPr>
        <w:spacing w:beforeLines="60" w:before="144" w:afterLines="60" w:after="144" w:line="240" w:lineRule="auto"/>
        <w:rPr>
          <w:rFonts w:ascii="Microsoft New Tai Lue" w:eastAsia="Times New Roman" w:hAnsi="Microsoft New Tai Lue" w:cs="Microsoft New Tai Lue"/>
          <w:sz w:val="24"/>
          <w:szCs w:val="24"/>
        </w:rPr>
      </w:pPr>
      <w:r w:rsidRPr="006844D0">
        <w:rPr>
          <w:rFonts w:ascii="Microsoft New Tai Lue" w:eastAsia="Times New Roman" w:hAnsi="Microsoft New Tai Lue" w:cs="Microsoft New Tai Lue"/>
          <w:sz w:val="24"/>
          <w:szCs w:val="24"/>
        </w:rPr>
        <w:t>1 x Service Manager</w:t>
      </w:r>
    </w:p>
    <w:p w14:paraId="30B37DED" w14:textId="77777777" w:rsidR="006844D0" w:rsidRPr="006844D0" w:rsidRDefault="006844D0" w:rsidP="006844D0">
      <w:pPr>
        <w:spacing w:beforeLines="60" w:before="144" w:afterLines="60" w:after="144" w:line="240" w:lineRule="auto"/>
        <w:rPr>
          <w:rFonts w:ascii="Microsoft New Tai Lue" w:eastAsia="Times New Roman" w:hAnsi="Microsoft New Tai Lue" w:cs="Microsoft New Tai Lue"/>
          <w:sz w:val="24"/>
          <w:szCs w:val="24"/>
        </w:rPr>
      </w:pPr>
      <w:r w:rsidRPr="006844D0">
        <w:rPr>
          <w:rFonts w:ascii="Microsoft New Tai Lue" w:eastAsia="Times New Roman" w:hAnsi="Microsoft New Tai Lue" w:cs="Microsoft New Tai Lue"/>
          <w:sz w:val="24"/>
          <w:szCs w:val="24"/>
        </w:rPr>
        <w:t>1 x AMHP professional lead</w:t>
      </w:r>
    </w:p>
    <w:p w14:paraId="70F2A7B0" w14:textId="77777777" w:rsidR="006844D0" w:rsidRPr="006844D0" w:rsidRDefault="006844D0" w:rsidP="006844D0">
      <w:pPr>
        <w:spacing w:beforeLines="60" w:before="144" w:afterLines="60" w:after="144" w:line="240" w:lineRule="auto"/>
        <w:rPr>
          <w:rFonts w:ascii="Microsoft New Tai Lue" w:eastAsia="Times New Roman" w:hAnsi="Microsoft New Tai Lue" w:cs="Microsoft New Tai Lue"/>
          <w:sz w:val="24"/>
          <w:szCs w:val="24"/>
        </w:rPr>
      </w:pPr>
      <w:r w:rsidRPr="006844D0">
        <w:rPr>
          <w:rFonts w:ascii="Microsoft New Tai Lue" w:eastAsia="Times New Roman" w:hAnsi="Microsoft New Tai Lue" w:cs="Microsoft New Tai Lue"/>
          <w:sz w:val="24"/>
          <w:szCs w:val="24"/>
        </w:rPr>
        <w:t>12 x FTE AMHPs</w:t>
      </w:r>
    </w:p>
    <w:p w14:paraId="28180CCA" w14:textId="77777777" w:rsidR="006844D0" w:rsidRPr="006844D0" w:rsidRDefault="006844D0" w:rsidP="006844D0">
      <w:pPr>
        <w:spacing w:beforeLines="60" w:before="144" w:afterLines="60" w:after="144" w:line="240" w:lineRule="auto"/>
        <w:rPr>
          <w:rFonts w:ascii="Microsoft New Tai Lue" w:eastAsia="Times New Roman" w:hAnsi="Microsoft New Tai Lue" w:cs="Microsoft New Tai Lue"/>
          <w:sz w:val="24"/>
          <w:szCs w:val="24"/>
        </w:rPr>
      </w:pPr>
      <w:r w:rsidRPr="006844D0">
        <w:rPr>
          <w:rFonts w:ascii="Microsoft New Tai Lue" w:eastAsia="Times New Roman" w:hAnsi="Microsoft New Tai Lue" w:cs="Microsoft New Tai Lue"/>
          <w:sz w:val="24"/>
          <w:szCs w:val="24"/>
        </w:rPr>
        <w:t>1 x Adult social care practitioner</w:t>
      </w:r>
    </w:p>
    <w:p w14:paraId="5F380FFB" w14:textId="6ACC96A7" w:rsidR="00445D0D" w:rsidRDefault="003625B9" w:rsidP="006844D0">
      <w:pPr>
        <w:pStyle w:val="Default"/>
        <w:ind w:hanging="142"/>
        <w:rPr>
          <w:rFonts w:ascii="Microsoft New Tai Lue" w:hAnsi="Microsoft New Tai Lue" w:cs="Microsoft New Tai Lue"/>
          <w:color w:val="auto"/>
          <w:lang w:eastAsia="en-US"/>
        </w:rPr>
      </w:pPr>
      <w:r>
        <w:rPr>
          <w:rFonts w:ascii="Microsoft New Tai Lue" w:hAnsi="Microsoft New Tai Lue" w:cs="Microsoft New Tai Lue"/>
          <w:color w:val="auto"/>
          <w:lang w:eastAsia="en-US"/>
        </w:rPr>
        <w:t xml:space="preserve">  </w:t>
      </w:r>
      <w:r w:rsidR="006844D0" w:rsidRPr="006844D0">
        <w:rPr>
          <w:rFonts w:ascii="Microsoft New Tai Lue" w:hAnsi="Microsoft New Tai Lue" w:cs="Microsoft New Tai Lue"/>
          <w:color w:val="auto"/>
          <w:lang w:eastAsia="en-US"/>
        </w:rPr>
        <w:t>1x Full time business support officer</w:t>
      </w:r>
    </w:p>
    <w:p w14:paraId="5BBB8F6E" w14:textId="77777777" w:rsidR="00FD7284" w:rsidRDefault="00FD7284" w:rsidP="006844D0">
      <w:pPr>
        <w:pStyle w:val="Default"/>
        <w:ind w:hanging="142"/>
        <w:rPr>
          <w:rFonts w:ascii="Microsoft New Tai Lue" w:hAnsi="Microsoft New Tai Lue" w:cs="Microsoft New Tai Lue"/>
          <w:color w:val="auto"/>
          <w:lang w:eastAsia="en-US"/>
        </w:rPr>
      </w:pPr>
    </w:p>
    <w:p w14:paraId="73FFA877" w14:textId="0025FF5C" w:rsidR="00FD7284" w:rsidRDefault="00FD7284" w:rsidP="006844D0">
      <w:pPr>
        <w:pStyle w:val="Default"/>
        <w:ind w:hanging="142"/>
        <w:rPr>
          <w:rFonts w:ascii="Microsoft New Tai Lue" w:hAnsi="Microsoft New Tai Lue" w:cs="Microsoft New Tai Lue"/>
          <w:bCs/>
          <w:i/>
          <w:iCs/>
          <w:u w:val="single"/>
        </w:rPr>
      </w:pPr>
      <w:bookmarkStart w:id="1" w:name="_Hlk152244808"/>
      <w:r>
        <w:rPr>
          <w:rFonts w:ascii="Microsoft New Tai Lue" w:hAnsi="Microsoft New Tai Lue" w:cs="Microsoft New Tai Lue"/>
          <w:bCs/>
          <w:i/>
          <w:iCs/>
          <w:u w:val="single"/>
        </w:rPr>
        <w:t>Lone Working:</w:t>
      </w:r>
    </w:p>
    <w:bookmarkEnd w:id="1"/>
    <w:p w14:paraId="7B448A0D" w14:textId="0175EBAD" w:rsidR="009924F6" w:rsidRDefault="00501918" w:rsidP="006844D0">
      <w:pPr>
        <w:pStyle w:val="Default"/>
        <w:ind w:hanging="142"/>
        <w:rPr>
          <w:rFonts w:ascii="Microsoft New Tai Lue" w:hAnsi="Microsoft New Tai Lue" w:cs="Microsoft New Tai Lue"/>
          <w:color w:val="auto"/>
          <w:lang w:eastAsia="en-US"/>
        </w:rPr>
      </w:pPr>
      <w:r>
        <w:rPr>
          <w:rFonts w:ascii="Microsoft New Tai Lue" w:hAnsi="Microsoft New Tai Lue" w:cs="Microsoft New Tai Lue"/>
          <w:color w:val="auto"/>
          <w:lang w:eastAsia="en-US"/>
        </w:rPr>
        <w:t xml:space="preserve">AMHPs will work alone </w:t>
      </w:r>
      <w:r w:rsidR="009924F6">
        <w:rPr>
          <w:rFonts w:ascii="Microsoft New Tai Lue" w:hAnsi="Microsoft New Tai Lue" w:cs="Microsoft New Tai Lue"/>
          <w:color w:val="auto"/>
          <w:lang w:eastAsia="en-US"/>
        </w:rPr>
        <w:t>most of</w:t>
      </w:r>
      <w:r>
        <w:rPr>
          <w:rFonts w:ascii="Microsoft New Tai Lue" w:hAnsi="Microsoft New Tai Lue" w:cs="Microsoft New Tai Lue"/>
          <w:color w:val="auto"/>
          <w:lang w:eastAsia="en-US"/>
        </w:rPr>
        <w:t xml:space="preserve"> the time when undertaken assessments</w:t>
      </w:r>
      <w:r w:rsidR="009924F6">
        <w:rPr>
          <w:rFonts w:ascii="Microsoft New Tai Lue" w:hAnsi="Microsoft New Tai Lue" w:cs="Microsoft New Tai Lue"/>
          <w:color w:val="auto"/>
          <w:lang w:eastAsia="en-US"/>
        </w:rPr>
        <w:t xml:space="preserve"> or on</w:t>
      </w:r>
    </w:p>
    <w:p w14:paraId="0D325B7C" w14:textId="77777777" w:rsidR="009924F6" w:rsidRDefault="009924F6" w:rsidP="006844D0">
      <w:pPr>
        <w:pStyle w:val="Default"/>
        <w:ind w:hanging="142"/>
        <w:rPr>
          <w:rFonts w:ascii="Microsoft New Tai Lue" w:hAnsi="Microsoft New Tai Lue" w:cs="Microsoft New Tai Lue"/>
          <w:color w:val="auto"/>
          <w:lang w:eastAsia="en-US"/>
        </w:rPr>
      </w:pPr>
      <w:r>
        <w:rPr>
          <w:rFonts w:ascii="Microsoft New Tai Lue" w:hAnsi="Microsoft New Tai Lue" w:cs="Microsoft New Tai Lue"/>
          <w:color w:val="auto"/>
          <w:lang w:eastAsia="en-US"/>
        </w:rPr>
        <w:t>the overnight shift. To ensure safety, AMHPs have been provided with a People Safe</w:t>
      </w:r>
    </w:p>
    <w:p w14:paraId="4B7A2CD1" w14:textId="317A59B1" w:rsidR="00FD7284" w:rsidRDefault="009924F6" w:rsidP="006844D0">
      <w:pPr>
        <w:pStyle w:val="Default"/>
        <w:ind w:hanging="142"/>
        <w:rPr>
          <w:rFonts w:ascii="Microsoft New Tai Lue" w:hAnsi="Microsoft New Tai Lue" w:cs="Microsoft New Tai Lue"/>
          <w:color w:val="auto"/>
          <w:lang w:eastAsia="en-US"/>
        </w:rPr>
      </w:pPr>
      <w:r>
        <w:rPr>
          <w:rFonts w:ascii="Microsoft New Tai Lue" w:hAnsi="Microsoft New Tai Lue" w:cs="Microsoft New Tai Lue"/>
          <w:color w:val="auto"/>
          <w:lang w:eastAsia="en-US"/>
        </w:rPr>
        <w:t>SOS safety device</w:t>
      </w:r>
      <w:r w:rsidR="00D3147B">
        <w:rPr>
          <w:rFonts w:ascii="Microsoft New Tai Lue" w:hAnsi="Microsoft New Tai Lue" w:cs="Microsoft New Tai Lue"/>
          <w:color w:val="auto"/>
          <w:lang w:eastAsia="en-US"/>
        </w:rPr>
        <w:t xml:space="preserve"> that can be activated when required. </w:t>
      </w:r>
    </w:p>
    <w:p w14:paraId="2CB891A0" w14:textId="77777777" w:rsidR="00E117F2" w:rsidRDefault="00D3147B" w:rsidP="00E117F2">
      <w:pPr>
        <w:pStyle w:val="Default"/>
        <w:ind w:hanging="142"/>
        <w:rPr>
          <w:rFonts w:ascii="Microsoft New Tai Lue" w:hAnsi="Microsoft New Tai Lue" w:cs="Microsoft New Tai Lue"/>
          <w:color w:val="auto"/>
          <w:lang w:eastAsia="en-US"/>
        </w:rPr>
      </w:pPr>
      <w:r>
        <w:rPr>
          <w:rFonts w:ascii="Microsoft New Tai Lue" w:hAnsi="Microsoft New Tai Lue" w:cs="Microsoft New Tai Lue"/>
          <w:color w:val="auto"/>
          <w:lang w:eastAsia="en-US"/>
        </w:rPr>
        <w:t xml:space="preserve">AMHPs are required to call into the </w:t>
      </w:r>
      <w:r w:rsidR="00E117F2">
        <w:rPr>
          <w:rFonts w:ascii="Microsoft New Tai Lue" w:hAnsi="Microsoft New Tai Lue" w:cs="Microsoft New Tai Lue"/>
          <w:color w:val="auto"/>
          <w:lang w:eastAsia="en-US"/>
        </w:rPr>
        <w:t>co-ordinating AMHP after every assessment to</w:t>
      </w:r>
    </w:p>
    <w:p w14:paraId="5739D7A3" w14:textId="26C80561" w:rsidR="00E117F2" w:rsidRPr="00FD7284" w:rsidRDefault="00E117F2" w:rsidP="00E117F2">
      <w:pPr>
        <w:pStyle w:val="Default"/>
        <w:ind w:hanging="142"/>
        <w:rPr>
          <w:rFonts w:ascii="Microsoft New Tai Lue" w:hAnsi="Microsoft New Tai Lue" w:cs="Microsoft New Tai Lue"/>
          <w:color w:val="auto"/>
          <w:lang w:eastAsia="en-US"/>
        </w:rPr>
      </w:pPr>
      <w:r>
        <w:rPr>
          <w:rFonts w:ascii="Microsoft New Tai Lue" w:hAnsi="Microsoft New Tai Lue" w:cs="Microsoft New Tai Lue"/>
          <w:color w:val="auto"/>
          <w:lang w:eastAsia="en-US"/>
        </w:rPr>
        <w:t>advise they are safe, and the whiteboard can be updated as to their whereabouts.</w:t>
      </w:r>
    </w:p>
    <w:p w14:paraId="761149A3" w14:textId="77777777" w:rsidR="00775DEA" w:rsidRDefault="00E117F2" w:rsidP="006844D0">
      <w:pPr>
        <w:pStyle w:val="Default"/>
        <w:ind w:hanging="142"/>
        <w:rPr>
          <w:rFonts w:ascii="Microsoft New Tai Lue" w:hAnsi="Microsoft New Tai Lue" w:cs="Microsoft New Tai Lue"/>
          <w:color w:val="auto"/>
        </w:rPr>
      </w:pPr>
      <w:r>
        <w:rPr>
          <w:rFonts w:ascii="Microsoft New Tai Lue" w:hAnsi="Microsoft New Tai Lue" w:cs="Microsoft New Tai Lue"/>
          <w:color w:val="auto"/>
        </w:rPr>
        <w:t xml:space="preserve">The AMHP service includes a </w:t>
      </w:r>
      <w:r w:rsidR="00775DEA">
        <w:rPr>
          <w:rFonts w:ascii="Microsoft New Tai Lue" w:hAnsi="Microsoft New Tai Lue" w:cs="Microsoft New Tai Lue"/>
          <w:color w:val="auto"/>
        </w:rPr>
        <w:t>o</w:t>
      </w:r>
      <w:r>
        <w:rPr>
          <w:rFonts w:ascii="Microsoft New Tai Lue" w:hAnsi="Microsoft New Tai Lue" w:cs="Microsoft New Tai Lue"/>
          <w:color w:val="auto"/>
        </w:rPr>
        <w:t xml:space="preserve">n call manager provision </w:t>
      </w:r>
      <w:r w:rsidR="00775DEA">
        <w:rPr>
          <w:rFonts w:ascii="Microsoft New Tai Lue" w:hAnsi="Microsoft New Tai Lue" w:cs="Microsoft New Tai Lue"/>
          <w:color w:val="auto"/>
        </w:rPr>
        <w:t>which offers support to the</w:t>
      </w:r>
    </w:p>
    <w:p w14:paraId="6FC2103A" w14:textId="77777777" w:rsidR="00634CB2" w:rsidRDefault="00775DEA" w:rsidP="006844D0">
      <w:pPr>
        <w:pStyle w:val="Default"/>
        <w:ind w:hanging="142"/>
        <w:rPr>
          <w:rFonts w:ascii="Microsoft New Tai Lue" w:hAnsi="Microsoft New Tai Lue" w:cs="Microsoft New Tai Lue"/>
          <w:color w:val="auto"/>
        </w:rPr>
      </w:pPr>
      <w:r>
        <w:rPr>
          <w:rFonts w:ascii="Microsoft New Tai Lue" w:hAnsi="Microsoft New Tai Lue" w:cs="Microsoft New Tai Lue"/>
          <w:color w:val="auto"/>
        </w:rPr>
        <w:t>overnight AMHP, which includes contacting on call manager after assessments</w:t>
      </w:r>
      <w:r w:rsidR="00634CB2">
        <w:rPr>
          <w:rFonts w:ascii="Microsoft New Tai Lue" w:hAnsi="Microsoft New Tai Lue" w:cs="Microsoft New Tai Lue"/>
          <w:color w:val="auto"/>
        </w:rPr>
        <w:t xml:space="preserve"> to</w:t>
      </w:r>
    </w:p>
    <w:p w14:paraId="04217A48" w14:textId="4804807D" w:rsidR="00FD7284" w:rsidRDefault="00634CB2" w:rsidP="006844D0">
      <w:pPr>
        <w:pStyle w:val="Default"/>
        <w:ind w:hanging="142"/>
        <w:rPr>
          <w:rFonts w:ascii="Microsoft New Tai Lue" w:hAnsi="Microsoft New Tai Lue" w:cs="Microsoft New Tai Lue"/>
          <w:color w:val="auto"/>
        </w:rPr>
      </w:pPr>
      <w:r>
        <w:rPr>
          <w:rFonts w:ascii="Microsoft New Tai Lue" w:hAnsi="Microsoft New Tai Lue" w:cs="Microsoft New Tai Lue"/>
          <w:color w:val="auto"/>
        </w:rPr>
        <w:t>ensure the AMHP is safe.</w:t>
      </w:r>
    </w:p>
    <w:p w14:paraId="65956E11" w14:textId="77777777" w:rsidR="00443B91" w:rsidRDefault="00443B91" w:rsidP="006844D0">
      <w:pPr>
        <w:pStyle w:val="Default"/>
        <w:ind w:hanging="142"/>
        <w:rPr>
          <w:rFonts w:ascii="Microsoft New Tai Lue" w:hAnsi="Microsoft New Tai Lue" w:cs="Microsoft New Tai Lue"/>
          <w:color w:val="auto"/>
        </w:rPr>
      </w:pPr>
    </w:p>
    <w:p w14:paraId="16A4FAFF" w14:textId="40A007F4" w:rsidR="00443B91" w:rsidRDefault="00443B91" w:rsidP="00443B91">
      <w:pPr>
        <w:pStyle w:val="Default"/>
        <w:ind w:hanging="142"/>
        <w:rPr>
          <w:rFonts w:ascii="Microsoft New Tai Lue" w:hAnsi="Microsoft New Tai Lue" w:cs="Microsoft New Tai Lue"/>
          <w:bCs/>
          <w:i/>
          <w:iCs/>
          <w:u w:val="single"/>
        </w:rPr>
      </w:pPr>
      <w:r>
        <w:rPr>
          <w:rFonts w:ascii="Microsoft New Tai Lue" w:hAnsi="Microsoft New Tai Lue" w:cs="Microsoft New Tai Lue"/>
          <w:bCs/>
          <w:i/>
          <w:iCs/>
          <w:u w:val="single"/>
        </w:rPr>
        <w:t xml:space="preserve">Contingency </w:t>
      </w:r>
      <w:r w:rsidR="001F78D8">
        <w:rPr>
          <w:rFonts w:ascii="Microsoft New Tai Lue" w:hAnsi="Microsoft New Tai Lue" w:cs="Microsoft New Tai Lue"/>
          <w:bCs/>
          <w:i/>
          <w:iCs/>
          <w:u w:val="single"/>
        </w:rPr>
        <w:t>for staffing</w:t>
      </w:r>
      <w:r>
        <w:rPr>
          <w:rFonts w:ascii="Microsoft New Tai Lue" w:hAnsi="Microsoft New Tai Lue" w:cs="Microsoft New Tai Lue"/>
          <w:bCs/>
          <w:i/>
          <w:iCs/>
          <w:u w:val="single"/>
        </w:rPr>
        <w:t>:</w:t>
      </w:r>
    </w:p>
    <w:p w14:paraId="2DC763AD" w14:textId="77777777" w:rsidR="004920F6" w:rsidRDefault="0012393A" w:rsidP="00443B91">
      <w:pPr>
        <w:pStyle w:val="Default"/>
        <w:ind w:hanging="142"/>
        <w:rPr>
          <w:rFonts w:ascii="Microsoft New Tai Lue" w:hAnsi="Microsoft New Tai Lue" w:cs="Microsoft New Tai Lue"/>
          <w:bCs/>
        </w:rPr>
      </w:pPr>
      <w:r w:rsidRPr="00241169">
        <w:rPr>
          <w:rFonts w:ascii="Microsoft New Tai Lue" w:hAnsi="Microsoft New Tai Lue" w:cs="Microsoft New Tai Lue"/>
          <w:bCs/>
        </w:rPr>
        <w:t xml:space="preserve">To support with staff sickness and </w:t>
      </w:r>
      <w:r w:rsidR="00241169">
        <w:rPr>
          <w:rFonts w:ascii="Microsoft New Tai Lue" w:hAnsi="Microsoft New Tai Lue" w:cs="Microsoft New Tai Lue"/>
          <w:bCs/>
        </w:rPr>
        <w:t>annual leave the AMHP service</w:t>
      </w:r>
      <w:r w:rsidR="001C4858">
        <w:rPr>
          <w:rFonts w:ascii="Microsoft New Tai Lue" w:hAnsi="Microsoft New Tai Lue" w:cs="Microsoft New Tai Lue"/>
          <w:bCs/>
        </w:rPr>
        <w:t xml:space="preserve"> utilises bank staff</w:t>
      </w:r>
      <w:r w:rsidR="004920F6">
        <w:rPr>
          <w:rFonts w:ascii="Microsoft New Tai Lue" w:hAnsi="Microsoft New Tai Lue" w:cs="Microsoft New Tai Lue"/>
          <w:bCs/>
        </w:rPr>
        <w:t xml:space="preserve"> to</w:t>
      </w:r>
    </w:p>
    <w:p w14:paraId="1BA9EA9A" w14:textId="77777777" w:rsidR="005C523B" w:rsidRDefault="004920F6" w:rsidP="00443B91">
      <w:pPr>
        <w:pStyle w:val="Default"/>
        <w:ind w:hanging="142"/>
        <w:rPr>
          <w:rFonts w:ascii="Microsoft New Tai Lue" w:hAnsi="Microsoft New Tai Lue" w:cs="Microsoft New Tai Lue"/>
          <w:bCs/>
        </w:rPr>
      </w:pPr>
      <w:r>
        <w:rPr>
          <w:rFonts w:ascii="Microsoft New Tai Lue" w:hAnsi="Microsoft New Tai Lue" w:cs="Microsoft New Tai Lue"/>
          <w:bCs/>
        </w:rPr>
        <w:t xml:space="preserve">help cover gaps in the rota. </w:t>
      </w:r>
      <w:r w:rsidR="00F05C7B">
        <w:rPr>
          <w:rFonts w:ascii="Microsoft New Tai Lue" w:hAnsi="Microsoft New Tai Lue" w:cs="Microsoft New Tai Lue"/>
          <w:bCs/>
        </w:rPr>
        <w:t>Bank staff are qualified AMHPs</w:t>
      </w:r>
      <w:r w:rsidR="005C523B">
        <w:rPr>
          <w:rFonts w:ascii="Microsoft New Tai Lue" w:hAnsi="Microsoft New Tai Lue" w:cs="Microsoft New Tai Lue"/>
          <w:bCs/>
        </w:rPr>
        <w:t xml:space="preserve"> who have previously </w:t>
      </w:r>
      <w:proofErr w:type="gramStart"/>
      <w:r w:rsidR="005C523B">
        <w:rPr>
          <w:rFonts w:ascii="Microsoft New Tai Lue" w:hAnsi="Microsoft New Tai Lue" w:cs="Microsoft New Tai Lue"/>
          <w:bCs/>
        </w:rPr>
        <w:t>been</w:t>
      </w:r>
      <w:proofErr w:type="gramEnd"/>
    </w:p>
    <w:p w14:paraId="0B3455C7" w14:textId="312C5A5A" w:rsidR="00AB3EAA" w:rsidRDefault="005C523B" w:rsidP="00443B91">
      <w:pPr>
        <w:pStyle w:val="Default"/>
        <w:ind w:hanging="142"/>
        <w:rPr>
          <w:rFonts w:ascii="Microsoft New Tai Lue" w:hAnsi="Microsoft New Tai Lue" w:cs="Microsoft New Tai Lue"/>
          <w:bCs/>
        </w:rPr>
      </w:pPr>
      <w:r>
        <w:rPr>
          <w:rFonts w:ascii="Microsoft New Tai Lue" w:hAnsi="Microsoft New Tai Lue" w:cs="Microsoft New Tai Lue"/>
          <w:bCs/>
        </w:rPr>
        <w:t xml:space="preserve">part of the AMHP hub </w:t>
      </w:r>
      <w:r w:rsidR="00AB3EAA">
        <w:rPr>
          <w:rFonts w:ascii="Microsoft New Tai Lue" w:hAnsi="Microsoft New Tai Lue" w:cs="Microsoft New Tai Lue"/>
          <w:bCs/>
        </w:rPr>
        <w:t xml:space="preserve">permanent staffing and continue to be able to access </w:t>
      </w:r>
      <w:proofErr w:type="gramStart"/>
      <w:r w:rsidR="00AB3EAA">
        <w:rPr>
          <w:rFonts w:ascii="Microsoft New Tai Lue" w:hAnsi="Microsoft New Tai Lue" w:cs="Microsoft New Tai Lue"/>
          <w:bCs/>
        </w:rPr>
        <w:t>all</w:t>
      </w:r>
      <w:proofErr w:type="gramEnd"/>
    </w:p>
    <w:p w14:paraId="6D856284" w14:textId="09E75854" w:rsidR="001F78D8" w:rsidRPr="00241169" w:rsidRDefault="00AB3EAA" w:rsidP="00443B91">
      <w:pPr>
        <w:pStyle w:val="Default"/>
        <w:ind w:hanging="142"/>
        <w:rPr>
          <w:rFonts w:ascii="Microsoft New Tai Lue" w:hAnsi="Microsoft New Tai Lue" w:cs="Microsoft New Tai Lue"/>
          <w:bCs/>
        </w:rPr>
      </w:pPr>
      <w:r>
        <w:rPr>
          <w:rFonts w:ascii="Microsoft New Tai Lue" w:hAnsi="Microsoft New Tai Lue" w:cs="Microsoft New Tai Lue"/>
          <w:bCs/>
        </w:rPr>
        <w:t>relevant training.</w:t>
      </w:r>
    </w:p>
    <w:p w14:paraId="538DBE0C" w14:textId="77777777" w:rsidR="00445D0D" w:rsidRDefault="00445D0D" w:rsidP="002E3F36">
      <w:pPr>
        <w:pStyle w:val="Default"/>
        <w:rPr>
          <w:b/>
          <w:bCs/>
          <w:color w:val="008080"/>
          <w:sz w:val="36"/>
          <w:szCs w:val="36"/>
        </w:rPr>
      </w:pPr>
    </w:p>
    <w:p w14:paraId="085C700E" w14:textId="2EC55367" w:rsidR="00D46DDB" w:rsidRPr="00D46DDB" w:rsidRDefault="008162EA" w:rsidP="00D46DDB">
      <w:pPr>
        <w:pStyle w:val="Default"/>
        <w:ind w:hanging="142"/>
        <w:rPr>
          <w:b/>
          <w:bCs/>
          <w:color w:val="008080"/>
          <w:sz w:val="36"/>
          <w:szCs w:val="36"/>
        </w:rPr>
      </w:pPr>
      <w:r>
        <w:rPr>
          <w:b/>
          <w:bCs/>
          <w:color w:val="008080"/>
          <w:sz w:val="36"/>
          <w:szCs w:val="36"/>
        </w:rPr>
        <w:t>8</w:t>
      </w:r>
      <w:r w:rsidR="00D46DDB" w:rsidRPr="00D46DDB">
        <w:rPr>
          <w:b/>
          <w:bCs/>
          <w:color w:val="008080"/>
          <w:sz w:val="36"/>
          <w:szCs w:val="36"/>
        </w:rPr>
        <w:t xml:space="preserve">. </w:t>
      </w:r>
      <w:r w:rsidR="00C30804" w:rsidRPr="00C30804">
        <w:rPr>
          <w:b/>
          <w:bCs/>
          <w:iCs/>
          <w:color w:val="008080"/>
          <w:sz w:val="36"/>
          <w:szCs w:val="36"/>
        </w:rPr>
        <w:t>Managerial and Supervisory arrangements</w:t>
      </w:r>
      <w:r w:rsidR="00C30804">
        <w:rPr>
          <w:b/>
          <w:bCs/>
          <w:i/>
          <w:color w:val="008080"/>
          <w:sz w:val="36"/>
          <w:szCs w:val="36"/>
        </w:rPr>
        <w:t>.</w:t>
      </w:r>
    </w:p>
    <w:p w14:paraId="341DBA35" w14:textId="77777777" w:rsidR="00C770C1" w:rsidRPr="00C770C1" w:rsidRDefault="00C770C1" w:rsidP="00C770C1">
      <w:pPr>
        <w:spacing w:beforeLines="60" w:before="144" w:afterLines="60" w:after="144" w:line="240" w:lineRule="auto"/>
        <w:rPr>
          <w:rFonts w:ascii="Microsoft New Tai Lue" w:eastAsia="Times New Roman" w:hAnsi="Microsoft New Tai Lue" w:cs="Microsoft New Tai Lue"/>
          <w:sz w:val="24"/>
          <w:szCs w:val="24"/>
        </w:rPr>
      </w:pPr>
      <w:r w:rsidRPr="00C770C1">
        <w:rPr>
          <w:rFonts w:ascii="Microsoft New Tai Lue" w:eastAsia="Times New Roman" w:hAnsi="Microsoft New Tai Lue" w:cs="Microsoft New Tai Lue"/>
          <w:sz w:val="24"/>
          <w:szCs w:val="24"/>
        </w:rPr>
        <w:t>The day to day running of the AMHP hub will fall to the service Manager, with all practice and legal queries falling to the Professional Lead.</w:t>
      </w:r>
    </w:p>
    <w:p w14:paraId="0EF06DF5" w14:textId="36E6B730" w:rsidR="00491237" w:rsidRDefault="00C770C1" w:rsidP="00C770C1">
      <w:pPr>
        <w:pStyle w:val="Default"/>
        <w:ind w:hanging="142"/>
        <w:rPr>
          <w:rFonts w:ascii="Microsoft New Tai Lue" w:eastAsia="MS Mincho" w:hAnsi="Microsoft New Tai Lue" w:cs="Microsoft New Tai Lue"/>
          <w:lang w:eastAsia="ja-JP"/>
        </w:rPr>
      </w:pPr>
      <w:r>
        <w:rPr>
          <w:rFonts w:ascii="Microsoft New Tai Lue" w:eastAsia="MS Mincho" w:hAnsi="Microsoft New Tai Lue" w:cs="Microsoft New Tai Lue"/>
          <w:lang w:eastAsia="ja-JP"/>
        </w:rPr>
        <w:lastRenderedPageBreak/>
        <w:t xml:space="preserve">  </w:t>
      </w:r>
      <w:r w:rsidRPr="00C770C1">
        <w:rPr>
          <w:rFonts w:ascii="Microsoft New Tai Lue" w:eastAsia="MS Mincho" w:hAnsi="Microsoft New Tai Lue" w:cs="Microsoft New Tai Lue"/>
          <w:lang w:eastAsia="ja-JP"/>
        </w:rPr>
        <w:t>Supervision is divided between the Service Manager and Professional Lead, who work closely in supporting the AMHP hub.</w:t>
      </w:r>
    </w:p>
    <w:p w14:paraId="043FBBAF" w14:textId="77777777" w:rsidR="00966F66" w:rsidRDefault="00966F66" w:rsidP="00C770C1">
      <w:pPr>
        <w:pStyle w:val="Default"/>
        <w:ind w:hanging="142"/>
        <w:rPr>
          <w:rFonts w:ascii="Microsoft New Tai Lue" w:eastAsia="MS Mincho" w:hAnsi="Microsoft New Tai Lue" w:cs="Microsoft New Tai Lue"/>
          <w:lang w:eastAsia="ja-JP"/>
        </w:rPr>
      </w:pPr>
    </w:p>
    <w:p w14:paraId="26BED8CD" w14:textId="77777777" w:rsidR="00966F66" w:rsidRDefault="00966F66" w:rsidP="00C770C1">
      <w:pPr>
        <w:pStyle w:val="Default"/>
        <w:ind w:hanging="142"/>
        <w:rPr>
          <w:color w:val="auto"/>
        </w:rPr>
      </w:pPr>
    </w:p>
    <w:p w14:paraId="1B2B1308" w14:textId="77777777" w:rsidR="00491237" w:rsidRDefault="00491237" w:rsidP="00C770C1">
      <w:pPr>
        <w:pStyle w:val="Default"/>
        <w:rPr>
          <w:color w:val="auto"/>
        </w:rPr>
      </w:pPr>
    </w:p>
    <w:p w14:paraId="41AE9993" w14:textId="7923BFC5" w:rsidR="00E30C0C" w:rsidRDefault="008162EA" w:rsidP="009C1964">
      <w:pPr>
        <w:pStyle w:val="Default"/>
        <w:ind w:hanging="142"/>
        <w:rPr>
          <w:b/>
          <w:bCs/>
          <w:color w:val="008080"/>
          <w:sz w:val="36"/>
          <w:szCs w:val="36"/>
        </w:rPr>
      </w:pPr>
      <w:r>
        <w:rPr>
          <w:b/>
          <w:bCs/>
          <w:color w:val="008080"/>
          <w:sz w:val="36"/>
          <w:szCs w:val="36"/>
        </w:rPr>
        <w:t>9</w:t>
      </w:r>
      <w:r w:rsidR="00D46DDB" w:rsidRPr="00D46DDB">
        <w:rPr>
          <w:b/>
          <w:bCs/>
          <w:color w:val="008080"/>
          <w:sz w:val="36"/>
          <w:szCs w:val="36"/>
        </w:rPr>
        <w:t xml:space="preserve">. </w:t>
      </w:r>
      <w:r w:rsidR="00E30C0C" w:rsidRPr="00E30C0C">
        <w:rPr>
          <w:b/>
          <w:bCs/>
          <w:iCs/>
          <w:color w:val="008080"/>
          <w:sz w:val="36"/>
          <w:szCs w:val="36"/>
        </w:rPr>
        <w:t>Record Keeping.</w:t>
      </w:r>
    </w:p>
    <w:p w14:paraId="64A21286" w14:textId="77777777" w:rsidR="009C1964" w:rsidRPr="009C1964" w:rsidRDefault="009C1964" w:rsidP="009C1964">
      <w:pPr>
        <w:spacing w:beforeLines="60" w:before="144" w:afterLines="60" w:after="144" w:line="240" w:lineRule="auto"/>
        <w:rPr>
          <w:rFonts w:ascii="Microsoft New Tai Lue" w:eastAsia="Times New Roman" w:hAnsi="Microsoft New Tai Lue" w:cs="Microsoft New Tai Lue"/>
          <w:bCs/>
          <w:iCs/>
          <w:sz w:val="24"/>
          <w:szCs w:val="24"/>
        </w:rPr>
      </w:pPr>
      <w:r w:rsidRPr="009C1964">
        <w:rPr>
          <w:rFonts w:ascii="Microsoft New Tai Lue" w:eastAsia="Times New Roman" w:hAnsi="Microsoft New Tai Lue" w:cs="Microsoft New Tai Lue"/>
          <w:bCs/>
          <w:iCs/>
          <w:sz w:val="24"/>
          <w:szCs w:val="24"/>
        </w:rPr>
        <w:t>The Somerset AMHP Service records all its work on the social care electronic recording system Eclipse. Where information is received that is important for Health colleagues to be aware of, such as any risk information, this should also be recorded on the NHS electronic recording system Rio.</w:t>
      </w:r>
    </w:p>
    <w:p w14:paraId="421F321F" w14:textId="3B30EE3E" w:rsidR="00E30C0C" w:rsidRPr="00E30C0C" w:rsidRDefault="009C1964" w:rsidP="009C1964">
      <w:pPr>
        <w:pStyle w:val="Default"/>
        <w:ind w:hanging="142"/>
        <w:rPr>
          <w:b/>
          <w:bCs/>
          <w:color w:val="008080"/>
          <w:sz w:val="36"/>
          <w:szCs w:val="36"/>
        </w:rPr>
      </w:pPr>
      <w:r>
        <w:rPr>
          <w:rFonts w:ascii="Microsoft New Tai Lue" w:hAnsi="Microsoft New Tai Lue" w:cs="Microsoft New Tai Lue"/>
          <w:bCs/>
          <w:iCs/>
          <w:color w:val="auto"/>
          <w:lang w:eastAsia="en-US"/>
        </w:rPr>
        <w:t xml:space="preserve">  </w:t>
      </w:r>
      <w:r w:rsidRPr="009C1964">
        <w:rPr>
          <w:rFonts w:ascii="Microsoft New Tai Lue" w:hAnsi="Microsoft New Tai Lue" w:cs="Microsoft New Tai Lue"/>
          <w:bCs/>
          <w:iCs/>
          <w:color w:val="auto"/>
          <w:lang w:eastAsia="en-US"/>
        </w:rPr>
        <w:t xml:space="preserve">Referrals, progress notes and AMHP reports can all be inputted live into the system. Where the AMHP may not have access to the system and reports need to be completed </w:t>
      </w:r>
      <w:r w:rsidRPr="009C1964">
        <w:rPr>
          <w:rFonts w:ascii="Microsoft New Tai Lue" w:hAnsi="Microsoft New Tai Lue" w:cs="Microsoft New Tai Lue"/>
          <w:bCs/>
          <w:i/>
          <w:iCs/>
          <w:color w:val="auto"/>
          <w:lang w:eastAsia="en-US"/>
        </w:rPr>
        <w:t>in situ</w:t>
      </w:r>
      <w:r w:rsidRPr="009C1964">
        <w:rPr>
          <w:rFonts w:ascii="Microsoft New Tai Lue" w:hAnsi="Microsoft New Tai Lue" w:cs="Microsoft New Tai Lue"/>
          <w:bCs/>
          <w:iCs/>
          <w:color w:val="auto"/>
          <w:lang w:eastAsia="en-US"/>
        </w:rPr>
        <w:t xml:space="preserve"> (for example when the patient is to be conveyed to an out of area hospital quickly), these can be uploaded into Eclipse to form part of the record.</w:t>
      </w:r>
    </w:p>
    <w:p w14:paraId="4378DDD0" w14:textId="77777777" w:rsidR="0087384A" w:rsidRDefault="0087384A" w:rsidP="009C1964">
      <w:pPr>
        <w:pStyle w:val="Default"/>
        <w:rPr>
          <w:color w:val="auto"/>
        </w:rPr>
      </w:pPr>
    </w:p>
    <w:p w14:paraId="5D1ACB54" w14:textId="01E071FE" w:rsidR="00E90B7C" w:rsidRPr="00FE5120" w:rsidRDefault="008162EA" w:rsidP="00FE5120">
      <w:pPr>
        <w:pStyle w:val="Default"/>
        <w:ind w:hanging="142"/>
        <w:rPr>
          <w:b/>
          <w:bCs/>
          <w:iCs/>
          <w:color w:val="008080"/>
          <w:sz w:val="36"/>
          <w:szCs w:val="36"/>
        </w:rPr>
      </w:pPr>
      <w:bookmarkStart w:id="2" w:name="_Hlk138249588"/>
      <w:r>
        <w:rPr>
          <w:b/>
          <w:bCs/>
          <w:color w:val="008080"/>
          <w:sz w:val="36"/>
          <w:szCs w:val="36"/>
        </w:rPr>
        <w:t>10</w:t>
      </w:r>
      <w:r w:rsidR="00AD065B" w:rsidRPr="00D46DDB">
        <w:rPr>
          <w:b/>
          <w:bCs/>
          <w:color w:val="008080"/>
          <w:sz w:val="36"/>
          <w:szCs w:val="36"/>
        </w:rPr>
        <w:t xml:space="preserve">. </w:t>
      </w:r>
      <w:r w:rsidR="00E90B7C" w:rsidRPr="00E90B7C">
        <w:rPr>
          <w:b/>
          <w:bCs/>
          <w:iCs/>
          <w:color w:val="008080"/>
          <w:sz w:val="36"/>
          <w:szCs w:val="36"/>
        </w:rPr>
        <w:t xml:space="preserve">Involvement of people who use services, </w:t>
      </w:r>
      <w:proofErr w:type="gramStart"/>
      <w:r w:rsidR="00E90B7C" w:rsidRPr="00E90B7C">
        <w:rPr>
          <w:b/>
          <w:bCs/>
          <w:iCs/>
          <w:color w:val="008080"/>
          <w:sz w:val="36"/>
          <w:szCs w:val="36"/>
        </w:rPr>
        <w:t>relatives</w:t>
      </w:r>
      <w:proofErr w:type="gramEnd"/>
      <w:r w:rsidR="00E90B7C" w:rsidRPr="00E90B7C">
        <w:rPr>
          <w:b/>
          <w:bCs/>
          <w:iCs/>
          <w:color w:val="008080"/>
          <w:sz w:val="36"/>
          <w:szCs w:val="36"/>
        </w:rPr>
        <w:t xml:space="preserve"> and carers.</w:t>
      </w:r>
    </w:p>
    <w:bookmarkEnd w:id="2"/>
    <w:p w14:paraId="5622C0A4" w14:textId="77777777" w:rsidR="00FE5120" w:rsidRPr="00FE5120" w:rsidRDefault="00FE5120" w:rsidP="00FE5120">
      <w:pPr>
        <w:spacing w:beforeLines="60" w:before="144" w:afterLines="60" w:after="144" w:line="240" w:lineRule="auto"/>
        <w:rPr>
          <w:rFonts w:ascii="Microsoft New Tai Lue" w:eastAsia="Times New Roman" w:hAnsi="Microsoft New Tai Lue" w:cs="Microsoft New Tai Lue"/>
          <w:sz w:val="24"/>
          <w:szCs w:val="24"/>
        </w:rPr>
      </w:pPr>
      <w:r w:rsidRPr="00FE5120">
        <w:rPr>
          <w:rFonts w:ascii="Microsoft New Tai Lue" w:eastAsia="Times New Roman" w:hAnsi="Microsoft New Tai Lue" w:cs="Microsoft New Tai Lue"/>
          <w:sz w:val="24"/>
          <w:szCs w:val="24"/>
        </w:rPr>
        <w:t>At present there are no formal arrangements for service user involvement in the Somerset AMHP Service. Service users form part of the training programme for AMHPs and are involved in the AMHP refresher programme.</w:t>
      </w:r>
    </w:p>
    <w:p w14:paraId="0E453E0E" w14:textId="77777777" w:rsidR="00FE5120" w:rsidRPr="00FE5120" w:rsidRDefault="00FE5120" w:rsidP="00FE5120">
      <w:pPr>
        <w:spacing w:beforeLines="60" w:before="144" w:afterLines="60" w:after="144" w:line="240" w:lineRule="auto"/>
        <w:rPr>
          <w:rFonts w:ascii="Microsoft New Tai Lue" w:eastAsia="Times New Roman" w:hAnsi="Microsoft New Tai Lue" w:cs="Microsoft New Tai Lue"/>
          <w:sz w:val="24"/>
          <w:szCs w:val="24"/>
        </w:rPr>
      </w:pPr>
      <w:r w:rsidRPr="00FE5120">
        <w:rPr>
          <w:rFonts w:ascii="Microsoft New Tai Lue" w:eastAsia="Times New Roman" w:hAnsi="Microsoft New Tai Lue" w:cs="Microsoft New Tai Lue"/>
          <w:sz w:val="24"/>
          <w:szCs w:val="24"/>
        </w:rPr>
        <w:t xml:space="preserve">At the time of this Policy, consideration is being given to introducing feedback options for patients and their families, for their views on their experience and the quality of the service they received. </w:t>
      </w:r>
    </w:p>
    <w:p w14:paraId="116A56D6" w14:textId="77777777" w:rsidR="00FE5120" w:rsidRPr="00FE5120" w:rsidRDefault="00FE5120" w:rsidP="00FE5120">
      <w:pPr>
        <w:spacing w:beforeLines="60" w:before="144" w:afterLines="60" w:after="144" w:line="240" w:lineRule="auto"/>
        <w:rPr>
          <w:rFonts w:ascii="Microsoft New Tai Lue" w:eastAsia="Times New Roman" w:hAnsi="Microsoft New Tai Lue" w:cs="Microsoft New Tai Lue"/>
          <w:sz w:val="24"/>
          <w:szCs w:val="24"/>
        </w:rPr>
      </w:pPr>
      <w:r w:rsidRPr="00FE5120">
        <w:rPr>
          <w:rFonts w:ascii="Microsoft New Tai Lue" w:eastAsia="Times New Roman" w:hAnsi="Microsoft New Tai Lue" w:cs="Microsoft New Tai Lue"/>
          <w:sz w:val="24"/>
          <w:szCs w:val="24"/>
        </w:rPr>
        <w:t xml:space="preserve">Where an AMHP discovers a need for a carer to receive support the AMHP will be able to facilitate a Carer’s Assessment which should be recorded on Eclipse and notified to the relevant locality team for a given area. </w:t>
      </w:r>
    </w:p>
    <w:p w14:paraId="1745EAB2" w14:textId="7E53BE00" w:rsidR="00FE5120" w:rsidRDefault="00FE5120" w:rsidP="00FE5120">
      <w:pPr>
        <w:spacing w:beforeLines="60" w:before="144" w:afterLines="60" w:after="144" w:line="240" w:lineRule="auto"/>
        <w:rPr>
          <w:rFonts w:ascii="Microsoft New Tai Lue" w:eastAsia="Times New Roman" w:hAnsi="Microsoft New Tai Lue" w:cs="Microsoft New Tai Lue"/>
          <w:sz w:val="24"/>
          <w:szCs w:val="24"/>
        </w:rPr>
      </w:pPr>
      <w:r w:rsidRPr="00FE5120">
        <w:rPr>
          <w:rFonts w:ascii="Microsoft New Tai Lue" w:eastAsia="Times New Roman" w:hAnsi="Microsoft New Tai Lue" w:cs="Microsoft New Tai Lue"/>
          <w:sz w:val="24"/>
          <w:szCs w:val="24"/>
        </w:rPr>
        <w:t>AMHPs are able also to refer to the Independent Mental Health Advocates (IMHAs) on behalf of patients who they see as in need of an advocate. The AMHP must attempt to seek the permission of the patient first, although there may be legitimate reasons why this is not possible.</w:t>
      </w:r>
    </w:p>
    <w:p w14:paraId="7E93D67D" w14:textId="77777777" w:rsidR="001005A7" w:rsidRDefault="001005A7" w:rsidP="00FE5120">
      <w:pPr>
        <w:spacing w:beforeLines="60" w:before="144" w:afterLines="60" w:after="144" w:line="240" w:lineRule="auto"/>
        <w:rPr>
          <w:rFonts w:ascii="Microsoft New Tai Lue" w:eastAsia="Times New Roman" w:hAnsi="Microsoft New Tai Lue" w:cs="Microsoft New Tai Lue"/>
          <w:sz w:val="24"/>
          <w:szCs w:val="24"/>
        </w:rPr>
      </w:pPr>
    </w:p>
    <w:p w14:paraId="1049A008" w14:textId="5B068E8A" w:rsidR="001005A7" w:rsidRDefault="001005A7" w:rsidP="001005A7">
      <w:pPr>
        <w:pStyle w:val="Default"/>
        <w:ind w:hanging="142"/>
        <w:rPr>
          <w:rFonts w:ascii="Microsoft New Tai Lue" w:hAnsi="Microsoft New Tai Lue" w:cs="Microsoft New Tai Lue"/>
          <w:bCs/>
          <w:i/>
          <w:iCs/>
          <w:u w:val="single"/>
        </w:rPr>
      </w:pPr>
      <w:r>
        <w:rPr>
          <w:rFonts w:ascii="Microsoft New Tai Lue" w:hAnsi="Microsoft New Tai Lue" w:cs="Microsoft New Tai Lue"/>
          <w:bCs/>
          <w:i/>
          <w:iCs/>
          <w:u w:val="single"/>
        </w:rPr>
        <w:t>Linking with other services:</w:t>
      </w:r>
    </w:p>
    <w:p w14:paraId="4A043567" w14:textId="77777777" w:rsidR="002F5C73" w:rsidRDefault="005F6489" w:rsidP="001005A7">
      <w:pPr>
        <w:pStyle w:val="Default"/>
        <w:ind w:hanging="142"/>
        <w:rPr>
          <w:rFonts w:ascii="Microsoft New Tai Lue" w:hAnsi="Microsoft New Tai Lue" w:cs="Microsoft New Tai Lue"/>
          <w:bCs/>
        </w:rPr>
      </w:pPr>
      <w:r>
        <w:rPr>
          <w:rFonts w:ascii="Microsoft New Tai Lue" w:hAnsi="Microsoft New Tai Lue" w:cs="Microsoft New Tai Lue"/>
          <w:bCs/>
        </w:rPr>
        <w:t xml:space="preserve">To ensure AMHPs remain connected with local services </w:t>
      </w:r>
      <w:r w:rsidR="00164327">
        <w:rPr>
          <w:rFonts w:ascii="Microsoft New Tai Lue" w:hAnsi="Microsoft New Tai Lue" w:cs="Microsoft New Tai Lue"/>
          <w:bCs/>
        </w:rPr>
        <w:t xml:space="preserve">both to receive </w:t>
      </w:r>
      <w:r w:rsidR="001336AD">
        <w:rPr>
          <w:rFonts w:ascii="Microsoft New Tai Lue" w:hAnsi="Microsoft New Tai Lue" w:cs="Microsoft New Tai Lue"/>
          <w:bCs/>
        </w:rPr>
        <w:t>knowledge and</w:t>
      </w:r>
    </w:p>
    <w:p w14:paraId="4DE9058B" w14:textId="77777777" w:rsidR="002F5C73" w:rsidRDefault="001336AD" w:rsidP="001005A7">
      <w:pPr>
        <w:pStyle w:val="Default"/>
        <w:ind w:hanging="142"/>
        <w:rPr>
          <w:rFonts w:ascii="Microsoft New Tai Lue" w:hAnsi="Microsoft New Tai Lue" w:cs="Microsoft New Tai Lue"/>
          <w:bCs/>
        </w:rPr>
      </w:pPr>
      <w:r>
        <w:rPr>
          <w:rFonts w:ascii="Microsoft New Tai Lue" w:hAnsi="Microsoft New Tai Lue" w:cs="Microsoft New Tai Lue"/>
          <w:bCs/>
        </w:rPr>
        <w:t xml:space="preserve">delivery knowledge, designated AMHPs are linked to each of the four </w:t>
      </w:r>
      <w:proofErr w:type="gramStart"/>
      <w:r>
        <w:rPr>
          <w:rFonts w:ascii="Microsoft New Tai Lue" w:hAnsi="Microsoft New Tai Lue" w:cs="Microsoft New Tai Lue"/>
          <w:bCs/>
        </w:rPr>
        <w:t>geographical</w:t>
      </w:r>
      <w:proofErr w:type="gramEnd"/>
    </w:p>
    <w:p w14:paraId="3846C558" w14:textId="77777777" w:rsidR="002A4F25" w:rsidRDefault="002F5C73" w:rsidP="002A4F25">
      <w:pPr>
        <w:pStyle w:val="Default"/>
        <w:ind w:hanging="142"/>
        <w:rPr>
          <w:rFonts w:ascii="Microsoft New Tai Lue" w:hAnsi="Microsoft New Tai Lue" w:cs="Microsoft New Tai Lue"/>
          <w:bCs/>
        </w:rPr>
      </w:pPr>
      <w:r>
        <w:rPr>
          <w:rFonts w:ascii="Microsoft New Tai Lue" w:hAnsi="Microsoft New Tai Lue" w:cs="Microsoft New Tai Lue"/>
          <w:bCs/>
        </w:rPr>
        <w:t>community service (HTT’s, MHSC and CMHS)</w:t>
      </w:r>
      <w:r w:rsidR="002A4F25">
        <w:rPr>
          <w:rFonts w:ascii="Microsoft New Tai Lue" w:hAnsi="Microsoft New Tai Lue" w:cs="Microsoft New Tai Lue"/>
          <w:bCs/>
        </w:rPr>
        <w:t xml:space="preserve"> areas (Taunton, Bridgwater, Mendip and</w:t>
      </w:r>
    </w:p>
    <w:p w14:paraId="21D98A62" w14:textId="20FA2AC0" w:rsidR="000526BA" w:rsidRDefault="002A4F25" w:rsidP="002A4F25">
      <w:pPr>
        <w:pStyle w:val="Default"/>
        <w:ind w:hanging="142"/>
        <w:rPr>
          <w:rFonts w:ascii="Microsoft New Tai Lue" w:hAnsi="Microsoft New Tai Lue" w:cs="Microsoft New Tai Lue"/>
          <w:bCs/>
        </w:rPr>
      </w:pPr>
      <w:r>
        <w:rPr>
          <w:rFonts w:ascii="Microsoft New Tai Lue" w:hAnsi="Microsoft New Tai Lue" w:cs="Microsoft New Tai Lue"/>
          <w:bCs/>
        </w:rPr>
        <w:t>Yeovil).</w:t>
      </w:r>
    </w:p>
    <w:p w14:paraId="12ABF92B" w14:textId="77777777" w:rsidR="00796B84" w:rsidRDefault="00587136" w:rsidP="002A4F25">
      <w:pPr>
        <w:pStyle w:val="Default"/>
        <w:ind w:hanging="142"/>
        <w:rPr>
          <w:rFonts w:ascii="Microsoft New Tai Lue" w:hAnsi="Microsoft New Tai Lue" w:cs="Microsoft New Tai Lue"/>
          <w:bCs/>
        </w:rPr>
      </w:pPr>
      <w:r>
        <w:rPr>
          <w:rFonts w:ascii="Microsoft New Tai Lue" w:hAnsi="Microsoft New Tai Lue" w:cs="Microsoft New Tai Lue"/>
          <w:bCs/>
        </w:rPr>
        <w:t xml:space="preserve">The AMHP service manager is also linked in with the service manager of </w:t>
      </w:r>
      <w:proofErr w:type="gramStart"/>
      <w:r>
        <w:rPr>
          <w:rFonts w:ascii="Microsoft New Tai Lue" w:hAnsi="Microsoft New Tai Lue" w:cs="Microsoft New Tai Lue"/>
          <w:bCs/>
        </w:rPr>
        <w:t>Childrens</w:t>
      </w:r>
      <w:proofErr w:type="gramEnd"/>
    </w:p>
    <w:p w14:paraId="37AA3370" w14:textId="010E0A40" w:rsidR="00587136" w:rsidRDefault="00587136" w:rsidP="002A4F25">
      <w:pPr>
        <w:pStyle w:val="Default"/>
        <w:ind w:hanging="142"/>
        <w:rPr>
          <w:rFonts w:ascii="Microsoft New Tai Lue" w:hAnsi="Microsoft New Tai Lue" w:cs="Microsoft New Tai Lue"/>
          <w:bCs/>
        </w:rPr>
      </w:pPr>
      <w:r>
        <w:rPr>
          <w:rFonts w:ascii="Microsoft New Tai Lue" w:hAnsi="Microsoft New Tai Lue" w:cs="Microsoft New Tai Lue"/>
          <w:bCs/>
        </w:rPr>
        <w:lastRenderedPageBreak/>
        <w:t xml:space="preserve">social care and will arrange regular invites to attend team meetings for </w:t>
      </w:r>
      <w:r w:rsidR="00796B84">
        <w:rPr>
          <w:rFonts w:ascii="Microsoft New Tai Lue" w:hAnsi="Microsoft New Tai Lue" w:cs="Microsoft New Tai Lue"/>
          <w:bCs/>
        </w:rPr>
        <w:t>both services.</w:t>
      </w:r>
    </w:p>
    <w:p w14:paraId="5B24FD0A" w14:textId="77777777" w:rsidR="002A4F25" w:rsidRPr="002A4F25" w:rsidRDefault="002A4F25" w:rsidP="002A4F25">
      <w:pPr>
        <w:pStyle w:val="Default"/>
        <w:ind w:hanging="142"/>
        <w:rPr>
          <w:rFonts w:ascii="Microsoft New Tai Lue" w:hAnsi="Microsoft New Tai Lue" w:cs="Microsoft New Tai Lue"/>
          <w:bCs/>
        </w:rPr>
      </w:pPr>
    </w:p>
    <w:p w14:paraId="65E10EAC" w14:textId="38644D59" w:rsidR="00FE5120" w:rsidRPr="00FE5120" w:rsidRDefault="008162EA" w:rsidP="00FE5120">
      <w:pPr>
        <w:pStyle w:val="Default"/>
        <w:ind w:hanging="142"/>
        <w:rPr>
          <w:b/>
          <w:bCs/>
          <w:iCs/>
          <w:color w:val="008080"/>
          <w:sz w:val="36"/>
          <w:szCs w:val="36"/>
        </w:rPr>
      </w:pPr>
      <w:bookmarkStart w:id="3" w:name="_Hlk138249633"/>
      <w:r>
        <w:rPr>
          <w:b/>
          <w:bCs/>
          <w:color w:val="008080"/>
          <w:sz w:val="36"/>
          <w:szCs w:val="36"/>
        </w:rPr>
        <w:t>11</w:t>
      </w:r>
      <w:r w:rsidR="00FE5120" w:rsidRPr="00D46DDB">
        <w:rPr>
          <w:b/>
          <w:bCs/>
          <w:color w:val="008080"/>
          <w:sz w:val="36"/>
          <w:szCs w:val="36"/>
        </w:rPr>
        <w:t xml:space="preserve">. </w:t>
      </w:r>
      <w:r w:rsidR="006E3E6D" w:rsidRPr="006E3E6D">
        <w:rPr>
          <w:b/>
          <w:bCs/>
          <w:color w:val="008080"/>
          <w:sz w:val="36"/>
          <w:szCs w:val="36"/>
        </w:rPr>
        <w:t>Governance arrangements.</w:t>
      </w:r>
    </w:p>
    <w:bookmarkEnd w:id="3"/>
    <w:p w14:paraId="415939FE" w14:textId="0769B3FC" w:rsidR="000526BA" w:rsidRDefault="000526BA" w:rsidP="000526BA">
      <w:pPr>
        <w:spacing w:beforeLines="60" w:before="144" w:afterLines="60" w:after="144" w:line="240" w:lineRule="auto"/>
        <w:rPr>
          <w:rFonts w:ascii="Microsoft New Tai Lue" w:eastAsia="Times New Roman" w:hAnsi="Microsoft New Tai Lue" w:cs="Microsoft New Tai Lue"/>
          <w:sz w:val="24"/>
          <w:szCs w:val="24"/>
        </w:rPr>
      </w:pPr>
      <w:r w:rsidRPr="000526BA">
        <w:rPr>
          <w:rFonts w:ascii="Microsoft New Tai Lue" w:eastAsia="Times New Roman" w:hAnsi="Microsoft New Tai Lue" w:cs="Microsoft New Tai Lue"/>
          <w:sz w:val="24"/>
          <w:szCs w:val="24"/>
        </w:rPr>
        <w:t xml:space="preserve">Direct line management of the Hub Team’s Practice sits with the Service Manager for the Mental Health, who reports directly to the Strategic manager of Mental Health. </w:t>
      </w:r>
    </w:p>
    <w:p w14:paraId="420625D0" w14:textId="480EF1FC" w:rsidR="00772BA3" w:rsidRDefault="002959E1" w:rsidP="000526BA">
      <w:pPr>
        <w:spacing w:beforeLines="60" w:before="144" w:afterLines="60" w:after="144" w:line="240" w:lineRule="auto"/>
        <w:rPr>
          <w:rFonts w:ascii="Microsoft New Tai Lue" w:eastAsia="Times New Roman" w:hAnsi="Microsoft New Tai Lue" w:cs="Microsoft New Tai Lue"/>
          <w:sz w:val="24"/>
          <w:szCs w:val="24"/>
        </w:rPr>
      </w:pPr>
      <w:r>
        <w:rPr>
          <w:rFonts w:ascii="Microsoft New Tai Lue" w:eastAsia="Times New Roman" w:hAnsi="Microsoft New Tai Lue" w:cs="Microsoft New Tai Lue"/>
          <w:sz w:val="24"/>
          <w:szCs w:val="24"/>
        </w:rPr>
        <w:t>Interface meetings with Somerset Foundation Trust will address learning points from incidents and near misses.</w:t>
      </w:r>
      <w:r w:rsidR="00A61346">
        <w:rPr>
          <w:rFonts w:ascii="Microsoft New Tai Lue" w:eastAsia="Times New Roman" w:hAnsi="Microsoft New Tai Lue" w:cs="Microsoft New Tai Lue"/>
          <w:sz w:val="24"/>
          <w:szCs w:val="24"/>
        </w:rPr>
        <w:t xml:space="preserve"> This includes issues around secure transport</w:t>
      </w:r>
      <w:r w:rsidR="002F120E">
        <w:rPr>
          <w:rFonts w:ascii="Microsoft New Tai Lue" w:eastAsia="Times New Roman" w:hAnsi="Microsoft New Tai Lue" w:cs="Microsoft New Tai Lue"/>
          <w:sz w:val="24"/>
          <w:szCs w:val="24"/>
        </w:rPr>
        <w:t xml:space="preserve">, </w:t>
      </w:r>
      <w:r w:rsidR="00A61346">
        <w:rPr>
          <w:rFonts w:ascii="Microsoft New Tai Lue" w:eastAsia="Times New Roman" w:hAnsi="Microsoft New Tai Lue" w:cs="Microsoft New Tai Lue"/>
          <w:sz w:val="24"/>
          <w:szCs w:val="24"/>
        </w:rPr>
        <w:t>S12 doctor availability</w:t>
      </w:r>
      <w:r w:rsidR="002F120E">
        <w:rPr>
          <w:rFonts w:ascii="Microsoft New Tai Lue" w:eastAsia="Times New Roman" w:hAnsi="Microsoft New Tai Lue" w:cs="Microsoft New Tai Lue"/>
          <w:sz w:val="24"/>
          <w:szCs w:val="24"/>
        </w:rPr>
        <w:t xml:space="preserve"> and beds.</w:t>
      </w:r>
    </w:p>
    <w:p w14:paraId="3BB688DA" w14:textId="33447364" w:rsidR="00C96D7E" w:rsidRPr="001B34CF" w:rsidRDefault="006115C4" w:rsidP="000526BA">
      <w:pPr>
        <w:spacing w:beforeLines="60" w:before="144" w:afterLines="60" w:after="144" w:line="240" w:lineRule="auto"/>
        <w:rPr>
          <w:rFonts w:ascii="Microsoft New Tai Lue" w:eastAsia="Times New Roman" w:hAnsi="Microsoft New Tai Lue" w:cs="Microsoft New Tai Lue"/>
          <w:i/>
          <w:iCs/>
          <w:sz w:val="24"/>
          <w:szCs w:val="24"/>
          <w:u w:val="single"/>
        </w:rPr>
      </w:pPr>
      <w:r>
        <w:rPr>
          <w:rFonts w:ascii="Microsoft New Tai Lue" w:eastAsia="Times New Roman" w:hAnsi="Microsoft New Tai Lue" w:cs="Microsoft New Tai Lue"/>
          <w:i/>
          <w:iCs/>
          <w:sz w:val="24"/>
          <w:szCs w:val="24"/>
          <w:u w:val="single"/>
        </w:rPr>
        <w:t xml:space="preserve">Incident </w:t>
      </w:r>
      <w:r w:rsidR="001B34CF" w:rsidRPr="001B34CF">
        <w:rPr>
          <w:rFonts w:ascii="Microsoft New Tai Lue" w:eastAsia="Times New Roman" w:hAnsi="Microsoft New Tai Lue" w:cs="Microsoft New Tai Lue"/>
          <w:i/>
          <w:iCs/>
          <w:sz w:val="24"/>
          <w:szCs w:val="24"/>
          <w:u w:val="single"/>
        </w:rPr>
        <w:t>report</w:t>
      </w:r>
      <w:r w:rsidR="007F1061">
        <w:rPr>
          <w:rFonts w:ascii="Microsoft New Tai Lue" w:eastAsia="Times New Roman" w:hAnsi="Microsoft New Tai Lue" w:cs="Microsoft New Tai Lue"/>
          <w:i/>
          <w:iCs/>
          <w:sz w:val="24"/>
          <w:szCs w:val="24"/>
          <w:u w:val="single"/>
        </w:rPr>
        <w:t xml:space="preserve">ing </w:t>
      </w:r>
      <w:r w:rsidR="001B34CF" w:rsidRPr="001B34CF">
        <w:rPr>
          <w:rFonts w:ascii="Microsoft New Tai Lue" w:eastAsia="Times New Roman" w:hAnsi="Microsoft New Tai Lue" w:cs="Microsoft New Tai Lue"/>
          <w:i/>
          <w:iCs/>
          <w:sz w:val="24"/>
          <w:szCs w:val="24"/>
          <w:u w:val="single"/>
        </w:rPr>
        <w:t>Process:</w:t>
      </w:r>
    </w:p>
    <w:p w14:paraId="3DBF37A9" w14:textId="4B7B221A" w:rsidR="001B34CF" w:rsidRDefault="00142755" w:rsidP="000526BA">
      <w:pPr>
        <w:spacing w:beforeLines="60" w:before="144" w:afterLines="60" w:after="144" w:line="240" w:lineRule="auto"/>
        <w:rPr>
          <w:rFonts w:ascii="Microsoft New Tai Lue" w:eastAsia="Times New Roman" w:hAnsi="Microsoft New Tai Lue" w:cs="Microsoft New Tai Lue"/>
          <w:sz w:val="24"/>
          <w:szCs w:val="24"/>
        </w:rPr>
      </w:pPr>
      <w:r>
        <w:rPr>
          <w:rFonts w:ascii="Microsoft New Tai Lue" w:eastAsia="Times New Roman" w:hAnsi="Microsoft New Tai Lue" w:cs="Microsoft New Tai Lue"/>
          <w:sz w:val="24"/>
          <w:szCs w:val="24"/>
        </w:rPr>
        <w:t xml:space="preserve">All incidents, including near misses should be </w:t>
      </w:r>
      <w:r w:rsidR="00C74913">
        <w:rPr>
          <w:rFonts w:ascii="Microsoft New Tai Lue" w:eastAsia="Times New Roman" w:hAnsi="Microsoft New Tai Lue" w:cs="Microsoft New Tai Lue"/>
          <w:sz w:val="24"/>
          <w:szCs w:val="24"/>
        </w:rPr>
        <w:t xml:space="preserve">reported to AMHP service manager and recorded on the </w:t>
      </w:r>
      <w:proofErr w:type="spellStart"/>
      <w:r w:rsidR="00C74913">
        <w:rPr>
          <w:rFonts w:ascii="Microsoft New Tai Lue" w:eastAsia="Times New Roman" w:hAnsi="Microsoft New Tai Lue" w:cs="Microsoft New Tai Lue"/>
          <w:sz w:val="24"/>
          <w:szCs w:val="24"/>
        </w:rPr>
        <w:t>BSafe</w:t>
      </w:r>
      <w:proofErr w:type="spellEnd"/>
      <w:r w:rsidR="00C74913">
        <w:rPr>
          <w:rFonts w:ascii="Microsoft New Tai Lue" w:eastAsia="Times New Roman" w:hAnsi="Microsoft New Tai Lue" w:cs="Microsoft New Tai Lue"/>
          <w:sz w:val="24"/>
          <w:szCs w:val="24"/>
        </w:rPr>
        <w:t xml:space="preserve"> system.</w:t>
      </w:r>
    </w:p>
    <w:p w14:paraId="6DCFF30E" w14:textId="24A87C82" w:rsidR="00C74913" w:rsidRDefault="00C74913" w:rsidP="000526BA">
      <w:pPr>
        <w:spacing w:beforeLines="60" w:before="144" w:afterLines="60" w:after="144" w:line="240" w:lineRule="auto"/>
        <w:rPr>
          <w:rFonts w:ascii="Microsoft New Tai Lue" w:eastAsia="Times New Roman" w:hAnsi="Microsoft New Tai Lue" w:cs="Microsoft New Tai Lue"/>
          <w:sz w:val="24"/>
          <w:szCs w:val="24"/>
        </w:rPr>
      </w:pPr>
      <w:r>
        <w:rPr>
          <w:rFonts w:ascii="Microsoft New Tai Lue" w:eastAsia="Times New Roman" w:hAnsi="Microsoft New Tai Lue" w:cs="Microsoft New Tai Lue"/>
          <w:sz w:val="24"/>
          <w:szCs w:val="24"/>
        </w:rPr>
        <w:t xml:space="preserve">In the event of a serious incident, a </w:t>
      </w:r>
      <w:r w:rsidR="00D35BC0">
        <w:rPr>
          <w:rFonts w:ascii="Microsoft New Tai Lue" w:eastAsia="Times New Roman" w:hAnsi="Microsoft New Tai Lue" w:cs="Microsoft New Tai Lue"/>
          <w:sz w:val="24"/>
          <w:szCs w:val="24"/>
        </w:rPr>
        <w:t>72-hour</w:t>
      </w:r>
      <w:r w:rsidR="00BC1B92">
        <w:rPr>
          <w:rFonts w:ascii="Microsoft New Tai Lue" w:eastAsia="Times New Roman" w:hAnsi="Microsoft New Tai Lue" w:cs="Microsoft New Tai Lue"/>
          <w:sz w:val="24"/>
          <w:szCs w:val="24"/>
        </w:rPr>
        <w:t xml:space="preserve"> report needs to be completed and sent </w:t>
      </w:r>
      <w:r w:rsidR="00BC1B92" w:rsidRPr="00081BCD">
        <w:rPr>
          <w:rFonts w:ascii="Microsoft New Tai Lue" w:eastAsia="Times New Roman" w:hAnsi="Microsoft New Tai Lue" w:cs="Microsoft New Tai Lue"/>
          <w:sz w:val="24"/>
          <w:szCs w:val="24"/>
          <w:highlight w:val="red"/>
        </w:rPr>
        <w:t xml:space="preserve">to </w:t>
      </w:r>
      <w:r w:rsidR="00081BCD" w:rsidRPr="00081BCD">
        <w:rPr>
          <w:rFonts w:ascii="Microsoft New Tai Lue" w:eastAsia="Times New Roman" w:hAnsi="Microsoft New Tai Lue" w:cs="Microsoft New Tai Lue"/>
          <w:sz w:val="24"/>
          <w:szCs w:val="24"/>
          <w:highlight w:val="red"/>
        </w:rPr>
        <w:t>*******</w:t>
      </w:r>
    </w:p>
    <w:p w14:paraId="64F77DE8" w14:textId="77777777" w:rsidR="000526BA" w:rsidRDefault="000526BA" w:rsidP="000526BA">
      <w:pPr>
        <w:spacing w:beforeLines="60" w:before="144" w:afterLines="60" w:after="144" w:line="240" w:lineRule="auto"/>
        <w:rPr>
          <w:rFonts w:ascii="Microsoft New Tai Lue" w:eastAsia="Times New Roman" w:hAnsi="Microsoft New Tai Lue" w:cs="Microsoft New Tai Lue"/>
          <w:sz w:val="24"/>
          <w:szCs w:val="24"/>
        </w:rPr>
      </w:pPr>
    </w:p>
    <w:p w14:paraId="4BE3ECD5" w14:textId="1A0BD44B" w:rsidR="000526BA" w:rsidRDefault="000526BA" w:rsidP="000526BA">
      <w:pPr>
        <w:pStyle w:val="Default"/>
        <w:ind w:hanging="142"/>
        <w:rPr>
          <w:b/>
          <w:bCs/>
          <w:iCs/>
          <w:color w:val="008080"/>
          <w:sz w:val="36"/>
          <w:szCs w:val="36"/>
        </w:rPr>
      </w:pPr>
      <w:r>
        <w:rPr>
          <w:b/>
          <w:bCs/>
          <w:color w:val="008080"/>
          <w:sz w:val="36"/>
          <w:szCs w:val="36"/>
        </w:rPr>
        <w:t>1</w:t>
      </w:r>
      <w:r w:rsidR="008162EA">
        <w:rPr>
          <w:b/>
          <w:bCs/>
          <w:color w:val="008080"/>
          <w:sz w:val="36"/>
          <w:szCs w:val="36"/>
        </w:rPr>
        <w:t>2</w:t>
      </w:r>
      <w:r w:rsidRPr="00D46DDB">
        <w:rPr>
          <w:b/>
          <w:bCs/>
          <w:color w:val="008080"/>
          <w:sz w:val="36"/>
          <w:szCs w:val="36"/>
        </w:rPr>
        <w:t xml:space="preserve">. </w:t>
      </w:r>
      <w:r w:rsidR="008E3C07" w:rsidRPr="008E3C07">
        <w:rPr>
          <w:b/>
          <w:bCs/>
          <w:iCs/>
          <w:color w:val="008080"/>
          <w:sz w:val="36"/>
          <w:szCs w:val="36"/>
        </w:rPr>
        <w:t>Performance / Outcome Measures (measuring quality and activity).</w:t>
      </w:r>
    </w:p>
    <w:p w14:paraId="6614AA65" w14:textId="77777777" w:rsidR="00827E5F" w:rsidRDefault="00827E5F" w:rsidP="00827E5F">
      <w:pPr>
        <w:spacing w:beforeLines="60" w:before="144" w:afterLines="60" w:after="144" w:line="240" w:lineRule="auto"/>
        <w:rPr>
          <w:rFonts w:ascii="Microsoft New Tai Lue" w:eastAsia="Times New Roman" w:hAnsi="Microsoft New Tai Lue" w:cs="Microsoft New Tai Lue"/>
          <w:bCs/>
          <w:iCs/>
          <w:sz w:val="24"/>
          <w:szCs w:val="24"/>
        </w:rPr>
      </w:pPr>
      <w:r w:rsidRPr="00827E5F">
        <w:rPr>
          <w:rFonts w:ascii="Microsoft New Tai Lue" w:eastAsia="Times New Roman" w:hAnsi="Microsoft New Tai Lue" w:cs="Microsoft New Tai Lue"/>
          <w:bCs/>
          <w:iCs/>
          <w:sz w:val="24"/>
          <w:szCs w:val="24"/>
        </w:rPr>
        <w:t>All statutory AMHP activity is reviewed by the AMHP manager and reported via Power BI. Issues relating to professional practice will be taken up through supervision and line management structures. Such monitoring information will also inform re-approval panels, future training requirements and any future development of the service.</w:t>
      </w:r>
    </w:p>
    <w:p w14:paraId="0A78CF21" w14:textId="220A6479" w:rsidR="00B830A7" w:rsidRPr="00827E5F" w:rsidRDefault="00B830A7" w:rsidP="00827E5F">
      <w:pPr>
        <w:spacing w:beforeLines="60" w:before="144" w:afterLines="60" w:after="144" w:line="240" w:lineRule="auto"/>
        <w:rPr>
          <w:rFonts w:ascii="Microsoft New Tai Lue" w:eastAsia="Times New Roman" w:hAnsi="Microsoft New Tai Lue" w:cs="Microsoft New Tai Lue"/>
          <w:sz w:val="24"/>
          <w:szCs w:val="24"/>
        </w:rPr>
      </w:pPr>
      <w:r>
        <w:rPr>
          <w:rFonts w:ascii="Microsoft New Tai Lue" w:eastAsia="Times New Roman" w:hAnsi="Microsoft New Tai Lue" w:cs="Microsoft New Tai Lue"/>
          <w:bCs/>
          <w:iCs/>
          <w:sz w:val="24"/>
          <w:szCs w:val="24"/>
        </w:rPr>
        <w:t xml:space="preserve">The data will be shared within interface meetings with Somerset Foundation Trust to promote collaborative working practices and </w:t>
      </w:r>
      <w:r w:rsidR="00A85878">
        <w:rPr>
          <w:rFonts w:ascii="Microsoft New Tai Lue" w:eastAsia="Times New Roman" w:hAnsi="Microsoft New Tai Lue" w:cs="Microsoft New Tai Lue"/>
          <w:bCs/>
          <w:iCs/>
          <w:sz w:val="24"/>
          <w:szCs w:val="24"/>
        </w:rPr>
        <w:t>evidence work demand and issues.</w:t>
      </w:r>
    </w:p>
    <w:p w14:paraId="41D9C3ED" w14:textId="1E9F83B7" w:rsidR="00827E5F" w:rsidRPr="00827E5F" w:rsidRDefault="00827E5F" w:rsidP="00827E5F">
      <w:pPr>
        <w:spacing w:beforeLines="60" w:before="144" w:afterLines="60" w:after="144" w:line="240" w:lineRule="auto"/>
        <w:rPr>
          <w:rFonts w:ascii="Microsoft New Tai Lue" w:eastAsia="Times New Roman" w:hAnsi="Microsoft New Tai Lue" w:cs="Microsoft New Tai Lue"/>
          <w:sz w:val="24"/>
          <w:szCs w:val="24"/>
        </w:rPr>
      </w:pPr>
      <w:r w:rsidRPr="00827E5F">
        <w:rPr>
          <w:rFonts w:ascii="Microsoft New Tai Lue" w:eastAsia="Times New Roman" w:hAnsi="Microsoft New Tai Lue" w:cs="Microsoft New Tai Lue"/>
          <w:sz w:val="24"/>
          <w:szCs w:val="24"/>
        </w:rPr>
        <w:t xml:space="preserve">As part of the ongoing monitoring of the effectiveness of the service, data will be collected across a number of fields; these will include but </w:t>
      </w:r>
      <w:r w:rsidR="009349DA">
        <w:rPr>
          <w:rFonts w:ascii="Microsoft New Tai Lue" w:eastAsia="Times New Roman" w:hAnsi="Microsoft New Tai Lue" w:cs="Microsoft New Tai Lue"/>
          <w:sz w:val="24"/>
          <w:szCs w:val="24"/>
        </w:rPr>
        <w:t>not</w:t>
      </w:r>
      <w:r w:rsidRPr="00827E5F">
        <w:rPr>
          <w:rFonts w:ascii="Microsoft New Tai Lue" w:eastAsia="Times New Roman" w:hAnsi="Microsoft New Tai Lue" w:cs="Microsoft New Tai Lue"/>
          <w:sz w:val="24"/>
          <w:szCs w:val="24"/>
        </w:rPr>
        <w:t xml:space="preserve"> limited </w:t>
      </w:r>
      <w:proofErr w:type="gramStart"/>
      <w:r w:rsidRPr="00827E5F">
        <w:rPr>
          <w:rFonts w:ascii="Microsoft New Tai Lue" w:eastAsia="Times New Roman" w:hAnsi="Microsoft New Tai Lue" w:cs="Microsoft New Tai Lue"/>
          <w:sz w:val="24"/>
          <w:szCs w:val="24"/>
        </w:rPr>
        <w:t>to;</w:t>
      </w:r>
      <w:proofErr w:type="gramEnd"/>
    </w:p>
    <w:p w14:paraId="5A3E2FC4" w14:textId="77777777" w:rsidR="00827E5F" w:rsidRPr="00827E5F" w:rsidRDefault="00827E5F" w:rsidP="00827E5F">
      <w:pPr>
        <w:numPr>
          <w:ilvl w:val="0"/>
          <w:numId w:val="4"/>
        </w:numPr>
        <w:spacing w:beforeLines="60" w:before="144" w:afterLines="60" w:after="144" w:line="240" w:lineRule="auto"/>
        <w:rPr>
          <w:rFonts w:ascii="Microsoft New Tai Lue" w:eastAsia="Times New Roman" w:hAnsi="Microsoft New Tai Lue" w:cs="Microsoft New Tai Lue"/>
          <w:sz w:val="24"/>
          <w:szCs w:val="24"/>
          <w:lang w:eastAsia="en-GB"/>
        </w:rPr>
      </w:pPr>
      <w:r w:rsidRPr="00827E5F">
        <w:rPr>
          <w:rFonts w:ascii="Microsoft New Tai Lue" w:eastAsia="Times New Roman" w:hAnsi="Microsoft New Tai Lue" w:cs="Microsoft New Tai Lue"/>
          <w:sz w:val="24"/>
          <w:szCs w:val="24"/>
          <w:lang w:eastAsia="en-GB"/>
        </w:rPr>
        <w:t>the number of referrals and the outcome.</w:t>
      </w:r>
    </w:p>
    <w:p w14:paraId="1EBB55C9" w14:textId="77777777" w:rsidR="00827E5F" w:rsidRPr="00827E5F" w:rsidRDefault="00827E5F" w:rsidP="00827E5F">
      <w:pPr>
        <w:numPr>
          <w:ilvl w:val="0"/>
          <w:numId w:val="4"/>
        </w:numPr>
        <w:spacing w:beforeLines="60" w:before="144" w:afterLines="60" w:after="144" w:line="240" w:lineRule="auto"/>
        <w:rPr>
          <w:rFonts w:ascii="Microsoft New Tai Lue" w:eastAsia="Times New Roman" w:hAnsi="Microsoft New Tai Lue" w:cs="Microsoft New Tai Lue"/>
          <w:sz w:val="24"/>
          <w:szCs w:val="24"/>
          <w:lang w:eastAsia="en-GB"/>
        </w:rPr>
      </w:pPr>
      <w:r w:rsidRPr="00827E5F">
        <w:rPr>
          <w:rFonts w:ascii="Microsoft New Tai Lue" w:eastAsia="Times New Roman" w:hAnsi="Microsoft New Tai Lue" w:cs="Microsoft New Tai Lue"/>
          <w:sz w:val="24"/>
          <w:szCs w:val="24"/>
          <w:lang w:eastAsia="en-GB"/>
        </w:rPr>
        <w:t xml:space="preserve">the time taken to complete the referral and assessment, the referral source, the outcome of assessment, the relevant sections of the MHA 1983 used, the use of private ambulance, and appropriate demographic information. </w:t>
      </w:r>
    </w:p>
    <w:p w14:paraId="13D6C2DC" w14:textId="77777777" w:rsidR="00827E5F" w:rsidRPr="00827E5F" w:rsidRDefault="00827E5F" w:rsidP="00827E5F">
      <w:pPr>
        <w:numPr>
          <w:ilvl w:val="0"/>
          <w:numId w:val="4"/>
        </w:numPr>
        <w:spacing w:beforeLines="60" w:before="144" w:afterLines="60" w:after="144" w:line="240" w:lineRule="auto"/>
        <w:rPr>
          <w:rFonts w:ascii="Microsoft New Tai Lue" w:eastAsia="Times New Roman" w:hAnsi="Microsoft New Tai Lue" w:cs="Microsoft New Tai Lue"/>
          <w:sz w:val="24"/>
          <w:szCs w:val="24"/>
        </w:rPr>
      </w:pPr>
      <w:r w:rsidRPr="00827E5F">
        <w:rPr>
          <w:rFonts w:ascii="Microsoft New Tai Lue" w:eastAsia="Times New Roman" w:hAnsi="Microsoft New Tai Lue" w:cs="Microsoft New Tai Lue"/>
          <w:sz w:val="24"/>
          <w:szCs w:val="24"/>
        </w:rPr>
        <w:t>Response times for carrying out s136 assessments.</w:t>
      </w:r>
    </w:p>
    <w:p w14:paraId="30FE264C" w14:textId="77777777" w:rsidR="00827E5F" w:rsidRPr="00827E5F" w:rsidRDefault="00827E5F" w:rsidP="00827E5F">
      <w:pPr>
        <w:numPr>
          <w:ilvl w:val="0"/>
          <w:numId w:val="4"/>
        </w:numPr>
        <w:spacing w:beforeLines="60" w:before="144" w:afterLines="60" w:after="144" w:line="240" w:lineRule="auto"/>
        <w:rPr>
          <w:rFonts w:ascii="Microsoft New Tai Lue" w:eastAsia="Times New Roman" w:hAnsi="Microsoft New Tai Lue" w:cs="Microsoft New Tai Lue"/>
          <w:sz w:val="24"/>
          <w:szCs w:val="24"/>
        </w:rPr>
      </w:pPr>
      <w:r w:rsidRPr="00827E5F">
        <w:rPr>
          <w:rFonts w:ascii="Microsoft New Tai Lue" w:eastAsia="Times New Roman" w:hAnsi="Microsoft New Tai Lue" w:cs="Microsoft New Tai Lue"/>
          <w:sz w:val="24"/>
          <w:szCs w:val="24"/>
        </w:rPr>
        <w:t xml:space="preserve">All patients on a community-based Order (CTO, Guardianship, ss.37/41) to have an allocated officer of Somerset Council to support the patient during </w:t>
      </w:r>
      <w:r w:rsidRPr="00827E5F">
        <w:rPr>
          <w:rFonts w:ascii="Microsoft New Tai Lue" w:eastAsia="Times New Roman" w:hAnsi="Microsoft New Tai Lue" w:cs="Microsoft New Tai Lue"/>
          <w:sz w:val="24"/>
          <w:szCs w:val="24"/>
        </w:rPr>
        <w:lastRenderedPageBreak/>
        <w:t>the lifetime of the order. This is monitored by the Professional Lead and Service Manager.</w:t>
      </w:r>
    </w:p>
    <w:p w14:paraId="4799F9DD" w14:textId="77777777" w:rsidR="00827E5F" w:rsidRDefault="00827E5F" w:rsidP="00827E5F">
      <w:pPr>
        <w:pStyle w:val="Default"/>
        <w:ind w:hanging="142"/>
        <w:rPr>
          <w:rFonts w:ascii="Microsoft New Tai Lue" w:hAnsi="Microsoft New Tai Lue" w:cs="Microsoft New Tai Lue"/>
          <w:color w:val="auto"/>
          <w:lang w:eastAsia="en-US"/>
        </w:rPr>
      </w:pPr>
      <w:r w:rsidRPr="00827E5F">
        <w:rPr>
          <w:rFonts w:ascii="Microsoft New Tai Lue" w:hAnsi="Microsoft New Tai Lue" w:cs="Microsoft New Tai Lue"/>
          <w:color w:val="auto"/>
          <w:lang w:eastAsia="en-US"/>
        </w:rPr>
        <w:t>That all court appointed NR cases are recorded and delegated officer of Somerset</w:t>
      </w:r>
    </w:p>
    <w:p w14:paraId="54EED3E1" w14:textId="5B727F67" w:rsidR="0027374F" w:rsidRDefault="00827E5F" w:rsidP="00827E5F">
      <w:pPr>
        <w:pStyle w:val="Default"/>
        <w:ind w:hanging="142"/>
        <w:rPr>
          <w:rFonts w:ascii="Microsoft New Tai Lue" w:hAnsi="Microsoft New Tai Lue" w:cs="Microsoft New Tai Lue"/>
          <w:color w:val="auto"/>
          <w:lang w:eastAsia="en-US"/>
        </w:rPr>
      </w:pPr>
      <w:r w:rsidRPr="00827E5F">
        <w:rPr>
          <w:rFonts w:ascii="Microsoft New Tai Lue" w:hAnsi="Microsoft New Tai Lue" w:cs="Microsoft New Tai Lue"/>
          <w:color w:val="auto"/>
          <w:lang w:eastAsia="en-US"/>
        </w:rPr>
        <w:t>Council has regular contact with the patient.</w:t>
      </w:r>
    </w:p>
    <w:p w14:paraId="51FBF0DC" w14:textId="4953FC71" w:rsidR="00510FD2" w:rsidRDefault="00510FD2">
      <w:pPr>
        <w:rPr>
          <w:rFonts w:ascii="Microsoft New Tai Lue" w:eastAsia="Times New Roman" w:hAnsi="Microsoft New Tai Lue" w:cs="Microsoft New Tai Lue"/>
          <w:sz w:val="24"/>
          <w:szCs w:val="24"/>
        </w:rPr>
      </w:pPr>
      <w:r>
        <w:rPr>
          <w:rFonts w:ascii="Microsoft New Tai Lue" w:hAnsi="Microsoft New Tai Lue" w:cs="Microsoft New Tai Lue"/>
        </w:rPr>
        <w:br w:type="page"/>
      </w:r>
    </w:p>
    <w:p w14:paraId="360850B2" w14:textId="5638F71F" w:rsidR="00510FD2" w:rsidRDefault="00510FD2" w:rsidP="00827E5F">
      <w:pPr>
        <w:pStyle w:val="Default"/>
        <w:ind w:hanging="142"/>
        <w:rPr>
          <w:b/>
          <w:bCs/>
          <w:iCs/>
          <w:color w:val="008080"/>
          <w:sz w:val="36"/>
          <w:szCs w:val="36"/>
        </w:rPr>
      </w:pPr>
      <w:r>
        <w:rPr>
          <w:b/>
          <w:bCs/>
          <w:iCs/>
          <w:color w:val="008080"/>
          <w:sz w:val="36"/>
          <w:szCs w:val="36"/>
        </w:rPr>
        <w:lastRenderedPageBreak/>
        <w:t>A</w:t>
      </w:r>
      <w:r w:rsidR="00C30B71">
        <w:rPr>
          <w:b/>
          <w:bCs/>
          <w:iCs/>
          <w:color w:val="008080"/>
          <w:sz w:val="36"/>
          <w:szCs w:val="36"/>
        </w:rPr>
        <w:t>ppendi</w:t>
      </w:r>
      <w:r w:rsidR="00042099">
        <w:rPr>
          <w:b/>
          <w:bCs/>
          <w:iCs/>
          <w:color w:val="008080"/>
          <w:sz w:val="36"/>
          <w:szCs w:val="36"/>
        </w:rPr>
        <w:t>ces</w:t>
      </w:r>
      <w:r w:rsidR="00C30B71">
        <w:rPr>
          <w:b/>
          <w:bCs/>
          <w:iCs/>
          <w:color w:val="008080"/>
          <w:sz w:val="36"/>
          <w:szCs w:val="36"/>
        </w:rPr>
        <w:t>:</w:t>
      </w:r>
    </w:p>
    <w:p w14:paraId="406E51EB" w14:textId="77777777" w:rsidR="00C30B71" w:rsidRDefault="00C30B71" w:rsidP="00827E5F">
      <w:pPr>
        <w:pStyle w:val="Default"/>
        <w:ind w:hanging="142"/>
        <w:rPr>
          <w:b/>
          <w:bCs/>
          <w:iCs/>
          <w:color w:val="008080"/>
          <w:sz w:val="36"/>
          <w:szCs w:val="36"/>
        </w:rPr>
      </w:pPr>
    </w:p>
    <w:p w14:paraId="144AFD00" w14:textId="5912D34D" w:rsidR="00C30B71" w:rsidRDefault="00C30B71" w:rsidP="00827E5F">
      <w:pPr>
        <w:pStyle w:val="Default"/>
        <w:ind w:hanging="142"/>
        <w:rPr>
          <w:iCs/>
          <w:color w:val="auto"/>
          <w:sz w:val="28"/>
          <w:szCs w:val="28"/>
        </w:rPr>
      </w:pPr>
      <w:r w:rsidRPr="000739DA">
        <w:rPr>
          <w:iCs/>
          <w:color w:val="auto"/>
          <w:sz w:val="32"/>
          <w:szCs w:val="32"/>
        </w:rPr>
        <w:t>Appendix A</w:t>
      </w:r>
      <w:r w:rsidR="000739DA" w:rsidRPr="000739DA">
        <w:rPr>
          <w:iCs/>
          <w:color w:val="auto"/>
          <w:sz w:val="36"/>
          <w:szCs w:val="36"/>
        </w:rPr>
        <w:t xml:space="preserve">: </w:t>
      </w:r>
      <w:r w:rsidR="000739DA" w:rsidRPr="000739DA">
        <w:rPr>
          <w:iCs/>
          <w:color w:val="auto"/>
          <w:sz w:val="28"/>
          <w:szCs w:val="28"/>
        </w:rPr>
        <w:t>Escalation process TBC</w:t>
      </w:r>
    </w:p>
    <w:p w14:paraId="5F95F311" w14:textId="77777777" w:rsidR="000739DA" w:rsidRDefault="000739DA" w:rsidP="00827E5F">
      <w:pPr>
        <w:pStyle w:val="Default"/>
        <w:ind w:hanging="142"/>
        <w:rPr>
          <w:iCs/>
          <w:color w:val="auto"/>
          <w:sz w:val="28"/>
          <w:szCs w:val="28"/>
        </w:rPr>
      </w:pPr>
    </w:p>
    <w:p w14:paraId="4B83EF3B" w14:textId="77777777" w:rsidR="000739DA" w:rsidRDefault="000739DA" w:rsidP="00827E5F">
      <w:pPr>
        <w:pStyle w:val="Default"/>
        <w:ind w:hanging="142"/>
        <w:rPr>
          <w:iCs/>
          <w:color w:val="auto"/>
          <w:sz w:val="28"/>
          <w:szCs w:val="28"/>
        </w:rPr>
      </w:pPr>
    </w:p>
    <w:p w14:paraId="2D95DF9C" w14:textId="77777777" w:rsidR="000739DA" w:rsidRDefault="000739DA" w:rsidP="00827E5F">
      <w:pPr>
        <w:pStyle w:val="Default"/>
        <w:ind w:hanging="142"/>
        <w:rPr>
          <w:iCs/>
          <w:color w:val="auto"/>
          <w:sz w:val="28"/>
          <w:szCs w:val="28"/>
        </w:rPr>
      </w:pPr>
    </w:p>
    <w:p w14:paraId="29B5F672" w14:textId="72B3D9C0" w:rsidR="000739DA" w:rsidRDefault="000739DA" w:rsidP="00827E5F">
      <w:pPr>
        <w:pStyle w:val="Default"/>
        <w:ind w:hanging="142"/>
        <w:rPr>
          <w:iCs/>
          <w:color w:val="auto"/>
          <w:sz w:val="28"/>
          <w:szCs w:val="28"/>
        </w:rPr>
      </w:pPr>
      <w:r>
        <w:rPr>
          <w:iCs/>
          <w:color w:val="auto"/>
          <w:sz w:val="28"/>
          <w:szCs w:val="28"/>
        </w:rPr>
        <w:t xml:space="preserve">Appendix B: Terms </w:t>
      </w:r>
      <w:r w:rsidR="004076E5">
        <w:rPr>
          <w:iCs/>
          <w:color w:val="auto"/>
          <w:sz w:val="28"/>
          <w:szCs w:val="28"/>
        </w:rPr>
        <w:t>of Reference TBC</w:t>
      </w:r>
    </w:p>
    <w:p w14:paraId="6A65300B" w14:textId="77777777" w:rsidR="004076E5" w:rsidRDefault="004076E5" w:rsidP="00827E5F">
      <w:pPr>
        <w:pStyle w:val="Default"/>
        <w:ind w:hanging="142"/>
        <w:rPr>
          <w:iCs/>
          <w:color w:val="auto"/>
          <w:sz w:val="28"/>
          <w:szCs w:val="28"/>
        </w:rPr>
      </w:pPr>
    </w:p>
    <w:p w14:paraId="26BD18EE" w14:textId="77777777" w:rsidR="004076E5" w:rsidRDefault="004076E5" w:rsidP="00827E5F">
      <w:pPr>
        <w:pStyle w:val="Default"/>
        <w:ind w:hanging="142"/>
        <w:rPr>
          <w:iCs/>
          <w:color w:val="auto"/>
          <w:sz w:val="28"/>
          <w:szCs w:val="28"/>
        </w:rPr>
      </w:pPr>
    </w:p>
    <w:p w14:paraId="543A6E25" w14:textId="77777777" w:rsidR="004076E5" w:rsidRDefault="004076E5" w:rsidP="00827E5F">
      <w:pPr>
        <w:pStyle w:val="Default"/>
        <w:ind w:hanging="142"/>
        <w:rPr>
          <w:iCs/>
          <w:color w:val="auto"/>
          <w:sz w:val="28"/>
          <w:szCs w:val="28"/>
        </w:rPr>
      </w:pPr>
    </w:p>
    <w:p w14:paraId="025F1065" w14:textId="77777777" w:rsidR="004076E5" w:rsidRDefault="004076E5" w:rsidP="00827E5F">
      <w:pPr>
        <w:pStyle w:val="Default"/>
        <w:ind w:hanging="142"/>
        <w:rPr>
          <w:iCs/>
          <w:color w:val="auto"/>
          <w:sz w:val="28"/>
          <w:szCs w:val="28"/>
        </w:rPr>
      </w:pPr>
    </w:p>
    <w:p w14:paraId="0F25CB4B" w14:textId="77777777" w:rsidR="004076E5" w:rsidRDefault="004076E5" w:rsidP="00827E5F">
      <w:pPr>
        <w:pStyle w:val="Default"/>
        <w:ind w:hanging="142"/>
        <w:rPr>
          <w:iCs/>
          <w:color w:val="auto"/>
          <w:sz w:val="28"/>
          <w:szCs w:val="28"/>
        </w:rPr>
      </w:pPr>
    </w:p>
    <w:p w14:paraId="420E91FB" w14:textId="77777777" w:rsidR="004076E5" w:rsidRDefault="004076E5" w:rsidP="00827E5F">
      <w:pPr>
        <w:pStyle w:val="Default"/>
        <w:ind w:hanging="142"/>
        <w:rPr>
          <w:iCs/>
          <w:color w:val="auto"/>
          <w:sz w:val="28"/>
          <w:szCs w:val="28"/>
        </w:rPr>
      </w:pPr>
    </w:p>
    <w:p w14:paraId="482504DE" w14:textId="77777777" w:rsidR="004076E5" w:rsidRDefault="004076E5" w:rsidP="00827E5F">
      <w:pPr>
        <w:pStyle w:val="Default"/>
        <w:ind w:hanging="142"/>
        <w:rPr>
          <w:iCs/>
          <w:color w:val="auto"/>
          <w:sz w:val="28"/>
          <w:szCs w:val="28"/>
        </w:rPr>
      </w:pPr>
    </w:p>
    <w:p w14:paraId="496C8AAB" w14:textId="77777777" w:rsidR="004076E5" w:rsidRDefault="004076E5" w:rsidP="00827E5F">
      <w:pPr>
        <w:pStyle w:val="Default"/>
        <w:ind w:hanging="142"/>
        <w:rPr>
          <w:iCs/>
          <w:color w:val="auto"/>
          <w:sz w:val="28"/>
          <w:szCs w:val="28"/>
        </w:rPr>
      </w:pPr>
    </w:p>
    <w:p w14:paraId="6A5ED381" w14:textId="77777777" w:rsidR="004076E5" w:rsidRDefault="004076E5" w:rsidP="00827E5F">
      <w:pPr>
        <w:pStyle w:val="Default"/>
        <w:ind w:hanging="142"/>
        <w:rPr>
          <w:iCs/>
          <w:color w:val="auto"/>
          <w:sz w:val="28"/>
          <w:szCs w:val="28"/>
        </w:rPr>
      </w:pPr>
    </w:p>
    <w:p w14:paraId="349E75BF" w14:textId="77777777" w:rsidR="004076E5" w:rsidRDefault="004076E5" w:rsidP="00827E5F">
      <w:pPr>
        <w:pStyle w:val="Default"/>
        <w:ind w:hanging="142"/>
        <w:rPr>
          <w:iCs/>
          <w:color w:val="auto"/>
          <w:sz w:val="28"/>
          <w:szCs w:val="28"/>
        </w:rPr>
      </w:pPr>
    </w:p>
    <w:p w14:paraId="38299D47" w14:textId="77777777" w:rsidR="004076E5" w:rsidRDefault="004076E5" w:rsidP="00827E5F">
      <w:pPr>
        <w:pStyle w:val="Default"/>
        <w:ind w:hanging="142"/>
        <w:rPr>
          <w:iCs/>
          <w:color w:val="auto"/>
          <w:sz w:val="28"/>
          <w:szCs w:val="28"/>
        </w:rPr>
      </w:pPr>
    </w:p>
    <w:p w14:paraId="6443C159" w14:textId="77777777" w:rsidR="004076E5" w:rsidRDefault="004076E5" w:rsidP="00827E5F">
      <w:pPr>
        <w:pStyle w:val="Default"/>
        <w:ind w:hanging="142"/>
        <w:rPr>
          <w:iCs/>
          <w:color w:val="auto"/>
          <w:sz w:val="28"/>
          <w:szCs w:val="28"/>
        </w:rPr>
      </w:pPr>
    </w:p>
    <w:p w14:paraId="185FF4E1" w14:textId="77777777" w:rsidR="004076E5" w:rsidRDefault="004076E5" w:rsidP="00827E5F">
      <w:pPr>
        <w:pStyle w:val="Default"/>
        <w:ind w:hanging="142"/>
        <w:rPr>
          <w:iCs/>
          <w:color w:val="auto"/>
          <w:sz w:val="28"/>
          <w:szCs w:val="28"/>
        </w:rPr>
      </w:pPr>
    </w:p>
    <w:p w14:paraId="6515053D" w14:textId="77777777" w:rsidR="004076E5" w:rsidRDefault="004076E5" w:rsidP="00827E5F">
      <w:pPr>
        <w:pStyle w:val="Default"/>
        <w:ind w:hanging="142"/>
        <w:rPr>
          <w:iCs/>
          <w:color w:val="auto"/>
          <w:sz w:val="28"/>
          <w:szCs w:val="28"/>
        </w:rPr>
      </w:pPr>
    </w:p>
    <w:p w14:paraId="53B93B9E" w14:textId="77777777" w:rsidR="004076E5" w:rsidRDefault="004076E5" w:rsidP="00827E5F">
      <w:pPr>
        <w:pStyle w:val="Default"/>
        <w:ind w:hanging="142"/>
        <w:rPr>
          <w:iCs/>
          <w:color w:val="auto"/>
          <w:sz w:val="28"/>
          <w:szCs w:val="28"/>
        </w:rPr>
      </w:pPr>
    </w:p>
    <w:p w14:paraId="681534CB" w14:textId="77777777" w:rsidR="004076E5" w:rsidRDefault="004076E5" w:rsidP="00827E5F">
      <w:pPr>
        <w:pStyle w:val="Default"/>
        <w:ind w:hanging="142"/>
        <w:rPr>
          <w:iCs/>
          <w:color w:val="auto"/>
          <w:sz w:val="28"/>
          <w:szCs w:val="28"/>
        </w:rPr>
      </w:pPr>
    </w:p>
    <w:p w14:paraId="1353E375" w14:textId="77777777" w:rsidR="004076E5" w:rsidRDefault="004076E5" w:rsidP="00827E5F">
      <w:pPr>
        <w:pStyle w:val="Default"/>
        <w:ind w:hanging="142"/>
        <w:rPr>
          <w:iCs/>
          <w:color w:val="auto"/>
          <w:sz w:val="28"/>
          <w:szCs w:val="28"/>
        </w:rPr>
      </w:pPr>
    </w:p>
    <w:p w14:paraId="6DD97105" w14:textId="77777777" w:rsidR="004076E5" w:rsidRDefault="004076E5" w:rsidP="00827E5F">
      <w:pPr>
        <w:pStyle w:val="Default"/>
        <w:ind w:hanging="142"/>
        <w:rPr>
          <w:iCs/>
          <w:color w:val="auto"/>
          <w:sz w:val="28"/>
          <w:szCs w:val="28"/>
        </w:rPr>
      </w:pPr>
    </w:p>
    <w:p w14:paraId="10235108" w14:textId="77777777" w:rsidR="004076E5" w:rsidRDefault="004076E5" w:rsidP="00827E5F">
      <w:pPr>
        <w:pStyle w:val="Default"/>
        <w:ind w:hanging="142"/>
        <w:rPr>
          <w:iCs/>
          <w:color w:val="auto"/>
          <w:sz w:val="28"/>
          <w:szCs w:val="28"/>
        </w:rPr>
      </w:pPr>
    </w:p>
    <w:p w14:paraId="2FEFE474" w14:textId="77777777" w:rsidR="004076E5" w:rsidRDefault="004076E5" w:rsidP="00827E5F">
      <w:pPr>
        <w:pStyle w:val="Default"/>
        <w:ind w:hanging="142"/>
        <w:rPr>
          <w:iCs/>
          <w:color w:val="auto"/>
          <w:sz w:val="28"/>
          <w:szCs w:val="28"/>
        </w:rPr>
      </w:pPr>
    </w:p>
    <w:p w14:paraId="483434AE" w14:textId="77777777" w:rsidR="004076E5" w:rsidRDefault="004076E5" w:rsidP="00827E5F">
      <w:pPr>
        <w:pStyle w:val="Default"/>
        <w:ind w:hanging="142"/>
        <w:rPr>
          <w:iCs/>
          <w:color w:val="auto"/>
          <w:sz w:val="28"/>
          <w:szCs w:val="28"/>
        </w:rPr>
      </w:pPr>
    </w:p>
    <w:p w14:paraId="47EF83D1" w14:textId="77777777" w:rsidR="004076E5" w:rsidRDefault="004076E5" w:rsidP="00827E5F">
      <w:pPr>
        <w:pStyle w:val="Default"/>
        <w:ind w:hanging="142"/>
        <w:rPr>
          <w:iCs/>
          <w:color w:val="auto"/>
          <w:sz w:val="28"/>
          <w:szCs w:val="28"/>
        </w:rPr>
      </w:pPr>
    </w:p>
    <w:p w14:paraId="12B05E26" w14:textId="77777777" w:rsidR="004076E5" w:rsidRDefault="004076E5" w:rsidP="00827E5F">
      <w:pPr>
        <w:pStyle w:val="Default"/>
        <w:ind w:hanging="142"/>
        <w:rPr>
          <w:iCs/>
          <w:color w:val="auto"/>
          <w:sz w:val="28"/>
          <w:szCs w:val="28"/>
        </w:rPr>
      </w:pPr>
    </w:p>
    <w:p w14:paraId="2F9B7B38" w14:textId="77777777" w:rsidR="004076E5" w:rsidRDefault="004076E5" w:rsidP="00827E5F">
      <w:pPr>
        <w:pStyle w:val="Default"/>
        <w:ind w:hanging="142"/>
        <w:rPr>
          <w:iCs/>
          <w:color w:val="auto"/>
          <w:sz w:val="28"/>
          <w:szCs w:val="28"/>
        </w:rPr>
      </w:pPr>
    </w:p>
    <w:p w14:paraId="04EB4367" w14:textId="77777777" w:rsidR="004076E5" w:rsidRDefault="004076E5" w:rsidP="00827E5F">
      <w:pPr>
        <w:pStyle w:val="Default"/>
        <w:ind w:hanging="142"/>
        <w:rPr>
          <w:iCs/>
          <w:color w:val="auto"/>
          <w:sz w:val="28"/>
          <w:szCs w:val="28"/>
        </w:rPr>
      </w:pPr>
    </w:p>
    <w:p w14:paraId="2B1DDDD0" w14:textId="77777777" w:rsidR="004076E5" w:rsidRDefault="004076E5" w:rsidP="00827E5F">
      <w:pPr>
        <w:pStyle w:val="Default"/>
        <w:ind w:hanging="142"/>
        <w:rPr>
          <w:iCs/>
          <w:color w:val="auto"/>
          <w:sz w:val="28"/>
          <w:szCs w:val="28"/>
        </w:rPr>
      </w:pPr>
    </w:p>
    <w:p w14:paraId="4C0C1BBF" w14:textId="77777777" w:rsidR="004076E5" w:rsidRDefault="004076E5" w:rsidP="00827E5F">
      <w:pPr>
        <w:pStyle w:val="Default"/>
        <w:ind w:hanging="142"/>
        <w:rPr>
          <w:iCs/>
          <w:color w:val="auto"/>
          <w:sz w:val="28"/>
          <w:szCs w:val="28"/>
        </w:rPr>
      </w:pPr>
    </w:p>
    <w:p w14:paraId="6AB7F44F" w14:textId="77777777" w:rsidR="004076E5" w:rsidRDefault="004076E5" w:rsidP="00827E5F">
      <w:pPr>
        <w:pStyle w:val="Default"/>
        <w:ind w:hanging="142"/>
        <w:rPr>
          <w:iCs/>
          <w:color w:val="auto"/>
          <w:sz w:val="28"/>
          <w:szCs w:val="28"/>
        </w:rPr>
      </w:pPr>
    </w:p>
    <w:p w14:paraId="482FC5BA" w14:textId="77777777" w:rsidR="004076E5" w:rsidRDefault="004076E5" w:rsidP="00827E5F">
      <w:pPr>
        <w:pStyle w:val="Default"/>
        <w:ind w:hanging="142"/>
        <w:rPr>
          <w:iCs/>
          <w:color w:val="auto"/>
          <w:sz w:val="28"/>
          <w:szCs w:val="28"/>
        </w:rPr>
      </w:pPr>
    </w:p>
    <w:p w14:paraId="73C3139F" w14:textId="77777777" w:rsidR="004076E5" w:rsidRDefault="004076E5" w:rsidP="00827E5F">
      <w:pPr>
        <w:pStyle w:val="Default"/>
        <w:ind w:hanging="142"/>
        <w:rPr>
          <w:iCs/>
          <w:color w:val="auto"/>
          <w:sz w:val="28"/>
          <w:szCs w:val="28"/>
        </w:rPr>
      </w:pPr>
    </w:p>
    <w:p w14:paraId="029D03EF" w14:textId="77777777" w:rsidR="004076E5" w:rsidRDefault="004076E5" w:rsidP="00827E5F">
      <w:pPr>
        <w:pStyle w:val="Default"/>
        <w:ind w:hanging="142"/>
        <w:rPr>
          <w:iCs/>
          <w:color w:val="auto"/>
          <w:sz w:val="28"/>
          <w:szCs w:val="28"/>
        </w:rPr>
      </w:pPr>
    </w:p>
    <w:p w14:paraId="63AC57B5" w14:textId="77777777" w:rsidR="004076E5" w:rsidRDefault="004076E5" w:rsidP="00827E5F">
      <w:pPr>
        <w:pStyle w:val="Default"/>
        <w:ind w:hanging="142"/>
        <w:rPr>
          <w:iCs/>
          <w:color w:val="auto"/>
          <w:sz w:val="28"/>
          <w:szCs w:val="28"/>
        </w:rPr>
      </w:pPr>
    </w:p>
    <w:p w14:paraId="199A8903" w14:textId="65ADA560" w:rsidR="004076E5" w:rsidRDefault="004076E5" w:rsidP="00827E5F">
      <w:pPr>
        <w:pStyle w:val="Default"/>
        <w:ind w:hanging="142"/>
        <w:rPr>
          <w:iCs/>
          <w:color w:val="auto"/>
          <w:sz w:val="28"/>
          <w:szCs w:val="28"/>
        </w:rPr>
      </w:pPr>
      <w:r>
        <w:rPr>
          <w:iCs/>
          <w:color w:val="auto"/>
          <w:sz w:val="28"/>
          <w:szCs w:val="28"/>
        </w:rPr>
        <w:lastRenderedPageBreak/>
        <w:t>Appendix C: AMHP Service enhancements.</w:t>
      </w:r>
    </w:p>
    <w:p w14:paraId="3722377D" w14:textId="77777777" w:rsidR="00055ED5" w:rsidRDefault="00055ED5" w:rsidP="00827E5F">
      <w:pPr>
        <w:pStyle w:val="Default"/>
        <w:ind w:hanging="142"/>
        <w:rPr>
          <w:iCs/>
          <w:color w:val="auto"/>
          <w:sz w:val="28"/>
          <w:szCs w:val="28"/>
        </w:rPr>
      </w:pPr>
    </w:p>
    <w:p w14:paraId="3508CC45" w14:textId="77777777" w:rsidR="00055ED5" w:rsidRPr="00A11338" w:rsidRDefault="00055ED5" w:rsidP="00055ED5">
      <w:pPr>
        <w:rPr>
          <w:b/>
          <w:iCs/>
          <w:sz w:val="28"/>
          <w:szCs w:val="28"/>
          <w:u w:val="single"/>
        </w:rPr>
      </w:pPr>
      <w:r w:rsidRPr="00A11338">
        <w:rPr>
          <w:b/>
          <w:iCs/>
          <w:sz w:val="28"/>
          <w:szCs w:val="28"/>
          <w:u w:val="single"/>
        </w:rPr>
        <w:t>AMHP Service Enhancements:</w:t>
      </w:r>
    </w:p>
    <w:p w14:paraId="2D9144D1" w14:textId="77777777" w:rsidR="00055ED5" w:rsidRPr="00A11338" w:rsidRDefault="00055ED5" w:rsidP="00055ED5">
      <w:pPr>
        <w:numPr>
          <w:ilvl w:val="0"/>
          <w:numId w:val="5"/>
        </w:numPr>
        <w:spacing w:after="160" w:line="259" w:lineRule="auto"/>
        <w:rPr>
          <w:b/>
          <w:iCs/>
        </w:rPr>
      </w:pPr>
      <w:r w:rsidRPr="00A11338">
        <w:rPr>
          <w:b/>
          <w:iCs/>
        </w:rPr>
        <w:t>New weekend day enhancement.</w:t>
      </w:r>
    </w:p>
    <w:p w14:paraId="3909BFEC" w14:textId="77777777" w:rsidR="00055ED5" w:rsidRPr="00A11338" w:rsidRDefault="00055ED5" w:rsidP="00055ED5">
      <w:pPr>
        <w:rPr>
          <w:bCs/>
          <w:iCs/>
        </w:rPr>
      </w:pPr>
      <w:r w:rsidRPr="00A11338">
        <w:rPr>
          <w:bCs/>
          <w:iCs/>
        </w:rPr>
        <w:t>You will now receive an enhancement of 33.3% for any hours worked on Saturday and Sunday between the hours of 08:00 – 20:00.</w:t>
      </w:r>
    </w:p>
    <w:p w14:paraId="1D1F263C" w14:textId="4455FE95" w:rsidR="00055ED5" w:rsidRPr="00A11338" w:rsidRDefault="00055ED5" w:rsidP="00055ED5">
      <w:pPr>
        <w:rPr>
          <w:bCs/>
          <w:iCs/>
        </w:rPr>
      </w:pPr>
      <w:r w:rsidRPr="00A11338">
        <w:rPr>
          <w:bCs/>
          <w:iCs/>
        </w:rPr>
        <w:t xml:space="preserve">You will need to claim this </w:t>
      </w:r>
      <w:r w:rsidRPr="00A11338">
        <w:rPr>
          <w:b/>
          <w:iCs/>
        </w:rPr>
        <w:t>each month</w:t>
      </w:r>
      <w:r w:rsidRPr="00A11338">
        <w:rPr>
          <w:bCs/>
          <w:iCs/>
        </w:rPr>
        <w:t xml:space="preserve"> using the payroll claim form and be authorised by the AMHP Service Manager.</w:t>
      </w:r>
    </w:p>
    <w:p w14:paraId="4F0A9440" w14:textId="77777777" w:rsidR="00055ED5" w:rsidRPr="00A11338" w:rsidRDefault="00055ED5" w:rsidP="00055ED5">
      <w:pPr>
        <w:numPr>
          <w:ilvl w:val="0"/>
          <w:numId w:val="5"/>
        </w:numPr>
        <w:spacing w:after="160" w:line="259" w:lineRule="auto"/>
        <w:rPr>
          <w:b/>
          <w:bCs/>
        </w:rPr>
      </w:pPr>
      <w:r w:rsidRPr="00A11338">
        <w:rPr>
          <w:b/>
          <w:bCs/>
        </w:rPr>
        <w:t>New overnights enhancement – Sunday to Saturday inclusive</w:t>
      </w:r>
    </w:p>
    <w:p w14:paraId="63E64DE3" w14:textId="77777777" w:rsidR="00055ED5" w:rsidRPr="00A11338" w:rsidRDefault="00055ED5" w:rsidP="00055ED5">
      <w:r w:rsidRPr="00A11338">
        <w:t>You will receive an enhancement of 50% for any hours worked Sunday to Saturday inclusive between the hours of 20:00 – 08:00, 7 nights each week.</w:t>
      </w:r>
    </w:p>
    <w:p w14:paraId="5EFA20BE" w14:textId="1BDB0793" w:rsidR="00055ED5" w:rsidRPr="00A11338" w:rsidRDefault="00055ED5" w:rsidP="00055ED5">
      <w:pPr>
        <w:rPr>
          <w:bCs/>
          <w:iCs/>
        </w:rPr>
      </w:pPr>
      <w:r w:rsidRPr="00A11338">
        <w:rPr>
          <w:bCs/>
          <w:iCs/>
        </w:rPr>
        <w:t xml:space="preserve">You will also need to claim this </w:t>
      </w:r>
      <w:r w:rsidRPr="00A11338">
        <w:rPr>
          <w:b/>
          <w:iCs/>
        </w:rPr>
        <w:t>each month</w:t>
      </w:r>
      <w:r w:rsidRPr="00A11338">
        <w:rPr>
          <w:bCs/>
          <w:iCs/>
        </w:rPr>
        <w:t xml:space="preserve"> using the payroll claim form and be authorised by the AMHP Service Manager.</w:t>
      </w:r>
    </w:p>
    <w:p w14:paraId="3CC6F02A" w14:textId="77777777" w:rsidR="00055ED5" w:rsidRPr="00A11338" w:rsidRDefault="00055ED5" w:rsidP="00055ED5">
      <w:pPr>
        <w:numPr>
          <w:ilvl w:val="0"/>
          <w:numId w:val="5"/>
        </w:numPr>
        <w:spacing w:after="160" w:line="259" w:lineRule="auto"/>
        <w:rPr>
          <w:b/>
          <w:bCs/>
        </w:rPr>
      </w:pPr>
      <w:r w:rsidRPr="00A11338">
        <w:rPr>
          <w:b/>
          <w:bCs/>
        </w:rPr>
        <w:t>Standby/on-call Senior AMHP.</w:t>
      </w:r>
    </w:p>
    <w:p w14:paraId="71528154" w14:textId="4B4BA36A" w:rsidR="00055ED5" w:rsidRPr="00055ED5" w:rsidRDefault="00055ED5" w:rsidP="00055ED5">
      <w:pPr>
        <w:rPr>
          <w:bCs/>
          <w:iCs/>
        </w:rPr>
      </w:pPr>
      <w:r w:rsidRPr="00A11338">
        <w:t xml:space="preserve">This will be the current rate of £30.35.  </w:t>
      </w:r>
      <w:r w:rsidRPr="00A11338">
        <w:rPr>
          <w:bCs/>
          <w:iCs/>
        </w:rPr>
        <w:t xml:space="preserve">If you claim this, you will continue to do so </w:t>
      </w:r>
      <w:r w:rsidRPr="00A11338">
        <w:rPr>
          <w:b/>
          <w:iCs/>
        </w:rPr>
        <w:t>each month</w:t>
      </w:r>
      <w:r w:rsidRPr="00A11338">
        <w:rPr>
          <w:bCs/>
          <w:iCs/>
        </w:rPr>
        <w:t xml:space="preserve"> using SAP and it will also need to be authorised by the AMHP Service Manager.</w:t>
      </w:r>
    </w:p>
    <w:p w14:paraId="05385A9F" w14:textId="77777777" w:rsidR="00055ED5" w:rsidRPr="00A11338" w:rsidRDefault="00055ED5" w:rsidP="00055ED5">
      <w:pPr>
        <w:numPr>
          <w:ilvl w:val="0"/>
          <w:numId w:val="5"/>
        </w:numPr>
        <w:spacing w:after="160" w:line="259" w:lineRule="auto"/>
        <w:rPr>
          <w:b/>
          <w:bCs/>
        </w:rPr>
      </w:pPr>
      <w:r w:rsidRPr="00A11338">
        <w:rPr>
          <w:b/>
          <w:bCs/>
        </w:rPr>
        <w:t>Bank Holidays.</w:t>
      </w:r>
    </w:p>
    <w:p w14:paraId="5DF936D7" w14:textId="77777777" w:rsidR="00055ED5" w:rsidRPr="00A11338" w:rsidRDefault="00055ED5" w:rsidP="00055ED5">
      <w:r w:rsidRPr="00A11338">
        <w:t>This is the 24-hour period between midnight and midnight on the day of the bank holiday.</w:t>
      </w:r>
    </w:p>
    <w:p w14:paraId="3CB9AEF9" w14:textId="77777777" w:rsidR="00055ED5" w:rsidRPr="00A11338" w:rsidRDefault="00055ED5" w:rsidP="00055ED5">
      <w:r w:rsidRPr="00A11338">
        <w:t>We will work to a reduced operational cover for Bank holidays whilst demand continues to be reduced on these days.  We will look to work to a reduced operational cover on Bank Holidays.  The AMHP Service Manager will seek to stand down operational staff such that operational cover is provided at levels equal to those at weekends.  This will be worked by those staff who are rostered to work on that day in a fair and equitable way, the AMHP Service Manager will look to stand staff who are not required to work down from duty with an appropriate level of notice.</w:t>
      </w:r>
    </w:p>
    <w:p w14:paraId="3A7A4A45" w14:textId="77777777" w:rsidR="00055ED5" w:rsidRPr="00A11338" w:rsidRDefault="00055ED5" w:rsidP="00055ED5">
      <w:r w:rsidRPr="00A11338">
        <w:t xml:space="preserve">Normal green book rates will be paid for bank holidays. </w:t>
      </w:r>
    </w:p>
    <w:p w14:paraId="3ACC6179" w14:textId="708B96F3" w:rsidR="00055ED5" w:rsidRPr="00055ED5" w:rsidRDefault="00055ED5" w:rsidP="00055ED5">
      <w:pPr>
        <w:rPr>
          <w:bCs/>
          <w:iCs/>
        </w:rPr>
      </w:pPr>
      <w:r w:rsidRPr="00A11338">
        <w:rPr>
          <w:bCs/>
          <w:iCs/>
        </w:rPr>
        <w:t xml:space="preserve">You will need to claim this </w:t>
      </w:r>
      <w:r w:rsidRPr="00A11338">
        <w:rPr>
          <w:b/>
          <w:iCs/>
        </w:rPr>
        <w:t>each month</w:t>
      </w:r>
      <w:r w:rsidRPr="00A11338">
        <w:rPr>
          <w:bCs/>
          <w:iCs/>
        </w:rPr>
        <w:t xml:space="preserve"> using the payroll claim form and be authorised by the AMHP Service Manager.</w:t>
      </w:r>
      <w:r>
        <w:rPr>
          <w:bCs/>
          <w:iCs/>
        </w:rPr>
        <w:t xml:space="preserve"> </w:t>
      </w:r>
      <w:r w:rsidRPr="00A11338">
        <w:t>Time off in lieu will also follow the normal Green Book Terms and conditions.</w:t>
      </w:r>
    </w:p>
    <w:p w14:paraId="4DC435B9" w14:textId="77777777" w:rsidR="00055ED5" w:rsidRPr="00A11338" w:rsidRDefault="00055ED5" w:rsidP="00055ED5">
      <w:pPr>
        <w:numPr>
          <w:ilvl w:val="0"/>
          <w:numId w:val="5"/>
        </w:numPr>
        <w:spacing w:after="160" w:line="259" w:lineRule="auto"/>
        <w:rPr>
          <w:b/>
          <w:bCs/>
        </w:rPr>
      </w:pPr>
      <w:r w:rsidRPr="00A11338">
        <w:rPr>
          <w:b/>
          <w:bCs/>
        </w:rPr>
        <w:t>Overtime hours.</w:t>
      </w:r>
    </w:p>
    <w:p w14:paraId="7B4DE115" w14:textId="77777777" w:rsidR="00055ED5" w:rsidRPr="00A11338" w:rsidRDefault="00055ED5" w:rsidP="00055ED5">
      <w:r w:rsidRPr="00A11338">
        <w:t xml:space="preserve">If you are not able to take the compensatory time off in lieu </w:t>
      </w:r>
      <w:proofErr w:type="gramStart"/>
      <w:r w:rsidRPr="00A11338">
        <w:t>for</w:t>
      </w:r>
      <w:proofErr w:type="gramEnd"/>
      <w:r w:rsidRPr="00A11338">
        <w:t xml:space="preserve"> additional hours worked, any time worked over 37 hours per week you will need to claim for that additional payment as overtime.</w:t>
      </w:r>
    </w:p>
    <w:p w14:paraId="5962F957" w14:textId="5CF8BB6D" w:rsidR="004076E5" w:rsidRPr="00055ED5" w:rsidRDefault="00055ED5" w:rsidP="00055ED5">
      <w:pPr>
        <w:rPr>
          <w:bCs/>
          <w:iCs/>
        </w:rPr>
      </w:pPr>
      <w:r w:rsidRPr="00A11338">
        <w:rPr>
          <w:bCs/>
          <w:iCs/>
        </w:rPr>
        <w:t xml:space="preserve">This needs to be claimed </w:t>
      </w:r>
      <w:r w:rsidRPr="00A11338">
        <w:rPr>
          <w:b/>
          <w:iCs/>
        </w:rPr>
        <w:t>each month</w:t>
      </w:r>
      <w:r w:rsidRPr="00A11338">
        <w:rPr>
          <w:bCs/>
          <w:iCs/>
        </w:rPr>
        <w:t xml:space="preserve"> using the payroll claim form and be authorised by the AMHP Service Manager.</w:t>
      </w:r>
    </w:p>
    <w:sectPr w:rsidR="004076E5" w:rsidRPr="00055ED5" w:rsidSect="00541401">
      <w:headerReference w:type="default" r:id="rId13"/>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D5EC" w14:textId="77777777" w:rsidR="00002E89" w:rsidRDefault="00002E89" w:rsidP="00222A6E">
      <w:pPr>
        <w:spacing w:after="0" w:line="240" w:lineRule="auto"/>
      </w:pPr>
      <w:r>
        <w:separator/>
      </w:r>
    </w:p>
  </w:endnote>
  <w:endnote w:type="continuationSeparator" w:id="0">
    <w:p w14:paraId="59207FE4" w14:textId="77777777" w:rsidR="00002E89" w:rsidRDefault="00002E89" w:rsidP="00222A6E">
      <w:pPr>
        <w:spacing w:after="0" w:line="240" w:lineRule="auto"/>
      </w:pPr>
      <w:r>
        <w:continuationSeparator/>
      </w:r>
    </w:p>
  </w:endnote>
  <w:endnote w:type="continuationNotice" w:id="1">
    <w:p w14:paraId="2E61A512" w14:textId="77777777" w:rsidR="00002E89" w:rsidRDefault="00002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80EA" w14:textId="5577A4A0"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15C5F0E5" wp14:editId="709A4F05">
              <wp:simplePos x="0" y="0"/>
              <wp:positionH relativeFrom="column">
                <wp:posOffset>3091815</wp:posOffset>
              </wp:positionH>
              <wp:positionV relativeFrom="page">
                <wp:posOffset>10028555</wp:posOffset>
              </wp:positionV>
              <wp:extent cx="3554095" cy="68453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3294" w14:textId="1834B816" w:rsidR="00653E31" w:rsidRPr="006D0867"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r w:rsidR="006D0867">
                            <w:rPr>
                              <w:rFonts w:ascii="Arial" w:hAnsi="Arial" w:cs="Arial"/>
                              <w:color w:val="FFFFFF" w:themeColor="background1"/>
                            </w:rPr>
                            <w:t>Adult Social Care, Somerset Council</w:t>
                          </w:r>
                        </w:p>
                        <w:p w14:paraId="1D8A5611" w14:textId="2825E2E1" w:rsidR="00653E31" w:rsidRPr="006D0867"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62C05">
                            <w:rPr>
                              <w:rFonts w:ascii="Arial" w:hAnsi="Arial" w:cs="Arial"/>
                              <w:color w:val="FFFFFF" w:themeColor="background1"/>
                            </w:rPr>
                            <w:t xml:space="preserve">June </w:t>
                          </w:r>
                          <w:r w:rsidR="006D0867">
                            <w:rPr>
                              <w:rFonts w:ascii="Arial" w:hAnsi="Arial" w:cs="Arial"/>
                              <w:color w:val="FFFFFF" w:themeColor="background1"/>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5F0E5" id="_x0000_t202" coordsize="21600,21600" o:spt="202" path="m,l,21600r21600,l21600,xe">
              <v:stroke joinstyle="miter"/>
              <v:path gradientshapeok="t" o:connecttype="rect"/>
            </v:shapetype>
            <v:shape id="Text Box 1" o:spid="_x0000_s1027"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5B983294" w14:textId="1834B816" w:rsidR="00653E31" w:rsidRPr="006D0867"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r w:rsidR="006D0867">
                      <w:rPr>
                        <w:rFonts w:ascii="Arial" w:hAnsi="Arial" w:cs="Arial"/>
                        <w:color w:val="FFFFFF" w:themeColor="background1"/>
                      </w:rPr>
                      <w:t>Adult Social Care, Somerset Council</w:t>
                    </w:r>
                  </w:p>
                  <w:p w14:paraId="1D8A5611" w14:textId="2825E2E1" w:rsidR="00653E31" w:rsidRPr="006D0867"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62C05">
                      <w:rPr>
                        <w:rFonts w:ascii="Arial" w:hAnsi="Arial" w:cs="Arial"/>
                        <w:color w:val="FFFFFF" w:themeColor="background1"/>
                      </w:rPr>
                      <w:t xml:space="preserve">June </w:t>
                    </w:r>
                    <w:r w:rsidR="006D0867">
                      <w:rPr>
                        <w:rFonts w:ascii="Arial" w:hAnsi="Arial" w:cs="Arial"/>
                        <w:color w:val="FFFFFF" w:themeColor="background1"/>
                      </w:rPr>
                      <w:t>2023</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74139FFC" wp14:editId="69F3645D">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68A5" w14:textId="77777777" w:rsidR="00002E89" w:rsidRDefault="00002E89" w:rsidP="00222A6E">
      <w:pPr>
        <w:spacing w:after="0" w:line="240" w:lineRule="auto"/>
      </w:pPr>
      <w:r>
        <w:separator/>
      </w:r>
    </w:p>
  </w:footnote>
  <w:footnote w:type="continuationSeparator" w:id="0">
    <w:p w14:paraId="13D84558" w14:textId="77777777" w:rsidR="00002E89" w:rsidRDefault="00002E89" w:rsidP="00222A6E">
      <w:pPr>
        <w:spacing w:after="0" w:line="240" w:lineRule="auto"/>
      </w:pPr>
      <w:r>
        <w:continuationSeparator/>
      </w:r>
    </w:p>
  </w:footnote>
  <w:footnote w:type="continuationNotice" w:id="1">
    <w:p w14:paraId="07F63412" w14:textId="77777777" w:rsidR="00002E89" w:rsidRDefault="00002E89">
      <w:pPr>
        <w:spacing w:after="0" w:line="240" w:lineRule="auto"/>
      </w:pPr>
    </w:p>
  </w:footnote>
  <w:footnote w:id="2">
    <w:p w14:paraId="7F42BB77" w14:textId="77777777" w:rsidR="00C620FD" w:rsidRDefault="00C620FD" w:rsidP="00C620FD">
      <w:pPr>
        <w:pStyle w:val="FootnoteText"/>
      </w:pPr>
      <w:r>
        <w:rPr>
          <w:rStyle w:val="FootnoteReference"/>
        </w:rPr>
        <w:footnoteRef/>
      </w:r>
      <w:r>
        <w:t xml:space="preserve"> See Winterwerp v </w:t>
      </w:r>
      <w:smartTag w:uri="urn:schemas-microsoft-com:office:smarttags" w:element="country-region">
        <w:smartTag w:uri="urn:schemas-microsoft-com:office:smarttags" w:element="place">
          <w:r>
            <w:t>Netherlands</w:t>
          </w:r>
        </w:smartTag>
      </w:smartTag>
      <w:r>
        <w:t>, 1979.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27A8E6E" w14:textId="07A3C0A9"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F626E25"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2626D"/>
    <w:multiLevelType w:val="hybridMultilevel"/>
    <w:tmpl w:val="8748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A701A"/>
    <w:multiLevelType w:val="hybridMultilevel"/>
    <w:tmpl w:val="E2D6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F12818"/>
    <w:multiLevelType w:val="hybridMultilevel"/>
    <w:tmpl w:val="C2C8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B7392C"/>
    <w:multiLevelType w:val="hybridMultilevel"/>
    <w:tmpl w:val="96BC0E7C"/>
    <w:lvl w:ilvl="0" w:tplc="70FCD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0322818">
    <w:abstractNumId w:val="2"/>
  </w:num>
  <w:num w:numId="2" w16cid:durableId="1704599471">
    <w:abstractNumId w:val="0"/>
  </w:num>
  <w:num w:numId="3" w16cid:durableId="1060638866">
    <w:abstractNumId w:val="3"/>
  </w:num>
  <w:num w:numId="4" w16cid:durableId="1458184312">
    <w:abstractNumId w:val="1"/>
  </w:num>
  <w:num w:numId="5" w16cid:durableId="63695553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40"/>
    <w:rsid w:val="0000137D"/>
    <w:rsid w:val="00001801"/>
    <w:rsid w:val="00002E89"/>
    <w:rsid w:val="00011185"/>
    <w:rsid w:val="00012151"/>
    <w:rsid w:val="00014D2F"/>
    <w:rsid w:val="00026BC5"/>
    <w:rsid w:val="00042099"/>
    <w:rsid w:val="0005247F"/>
    <w:rsid w:val="000526BA"/>
    <w:rsid w:val="00052EF3"/>
    <w:rsid w:val="0005379B"/>
    <w:rsid w:val="00055ED5"/>
    <w:rsid w:val="000739DA"/>
    <w:rsid w:val="00076BA9"/>
    <w:rsid w:val="000777C1"/>
    <w:rsid w:val="00081BCD"/>
    <w:rsid w:val="0008571F"/>
    <w:rsid w:val="000912B9"/>
    <w:rsid w:val="000A2DAF"/>
    <w:rsid w:val="000B7F3F"/>
    <w:rsid w:val="000C7B50"/>
    <w:rsid w:val="000D2A7E"/>
    <w:rsid w:val="000D4B21"/>
    <w:rsid w:val="000D6006"/>
    <w:rsid w:val="001005A7"/>
    <w:rsid w:val="00102450"/>
    <w:rsid w:val="00110F11"/>
    <w:rsid w:val="001207A9"/>
    <w:rsid w:val="001236BA"/>
    <w:rsid w:val="0012393A"/>
    <w:rsid w:val="001336AD"/>
    <w:rsid w:val="00137A8D"/>
    <w:rsid w:val="00142755"/>
    <w:rsid w:val="00143D6D"/>
    <w:rsid w:val="001459F2"/>
    <w:rsid w:val="00155E59"/>
    <w:rsid w:val="00162A68"/>
    <w:rsid w:val="00163319"/>
    <w:rsid w:val="00163AD6"/>
    <w:rsid w:val="00164327"/>
    <w:rsid w:val="001734CB"/>
    <w:rsid w:val="001742C7"/>
    <w:rsid w:val="00176F2B"/>
    <w:rsid w:val="001A1E4A"/>
    <w:rsid w:val="001A4A3D"/>
    <w:rsid w:val="001B191D"/>
    <w:rsid w:val="001B2E24"/>
    <w:rsid w:val="001B32D7"/>
    <w:rsid w:val="001B34CF"/>
    <w:rsid w:val="001C29CC"/>
    <w:rsid w:val="001C4858"/>
    <w:rsid w:val="001D0485"/>
    <w:rsid w:val="001D2071"/>
    <w:rsid w:val="001D2630"/>
    <w:rsid w:val="001D2EB2"/>
    <w:rsid w:val="001D333D"/>
    <w:rsid w:val="001D62E5"/>
    <w:rsid w:val="001E2F7E"/>
    <w:rsid w:val="001E3FAA"/>
    <w:rsid w:val="001F506F"/>
    <w:rsid w:val="001F78D8"/>
    <w:rsid w:val="001F7965"/>
    <w:rsid w:val="002001F2"/>
    <w:rsid w:val="00206280"/>
    <w:rsid w:val="00214DCC"/>
    <w:rsid w:val="00220E24"/>
    <w:rsid w:val="00222A6E"/>
    <w:rsid w:val="0022323D"/>
    <w:rsid w:val="00241169"/>
    <w:rsid w:val="00241D50"/>
    <w:rsid w:val="002513EB"/>
    <w:rsid w:val="00253DAC"/>
    <w:rsid w:val="00257851"/>
    <w:rsid w:val="002669BE"/>
    <w:rsid w:val="00272553"/>
    <w:rsid w:val="0027374F"/>
    <w:rsid w:val="0027667F"/>
    <w:rsid w:val="00277C8B"/>
    <w:rsid w:val="00280D4A"/>
    <w:rsid w:val="00292B38"/>
    <w:rsid w:val="00293331"/>
    <w:rsid w:val="00294161"/>
    <w:rsid w:val="002959E1"/>
    <w:rsid w:val="002A2345"/>
    <w:rsid w:val="002A4F25"/>
    <w:rsid w:val="002B7207"/>
    <w:rsid w:val="002C14FB"/>
    <w:rsid w:val="002C2803"/>
    <w:rsid w:val="002C3183"/>
    <w:rsid w:val="002D0678"/>
    <w:rsid w:val="002D3857"/>
    <w:rsid w:val="002E3F36"/>
    <w:rsid w:val="002F120E"/>
    <w:rsid w:val="002F16D4"/>
    <w:rsid w:val="002F4246"/>
    <w:rsid w:val="002F5C73"/>
    <w:rsid w:val="00303703"/>
    <w:rsid w:val="003101B2"/>
    <w:rsid w:val="00313466"/>
    <w:rsid w:val="003137B7"/>
    <w:rsid w:val="00320114"/>
    <w:rsid w:val="00321408"/>
    <w:rsid w:val="00336504"/>
    <w:rsid w:val="00340C49"/>
    <w:rsid w:val="00340EB4"/>
    <w:rsid w:val="00341AAC"/>
    <w:rsid w:val="003464C1"/>
    <w:rsid w:val="00357271"/>
    <w:rsid w:val="003625B9"/>
    <w:rsid w:val="00371E21"/>
    <w:rsid w:val="00382A08"/>
    <w:rsid w:val="003944FA"/>
    <w:rsid w:val="00395B75"/>
    <w:rsid w:val="003968B8"/>
    <w:rsid w:val="003A0AB2"/>
    <w:rsid w:val="003C3D6F"/>
    <w:rsid w:val="003C6694"/>
    <w:rsid w:val="003D59E3"/>
    <w:rsid w:val="003D6628"/>
    <w:rsid w:val="003E3A08"/>
    <w:rsid w:val="003E5895"/>
    <w:rsid w:val="003E6E54"/>
    <w:rsid w:val="003F60AF"/>
    <w:rsid w:val="00400EEF"/>
    <w:rsid w:val="004031A1"/>
    <w:rsid w:val="0040473E"/>
    <w:rsid w:val="00405EEE"/>
    <w:rsid w:val="004076E5"/>
    <w:rsid w:val="00412F3D"/>
    <w:rsid w:val="00413F90"/>
    <w:rsid w:val="0042119E"/>
    <w:rsid w:val="0042141D"/>
    <w:rsid w:val="004236C9"/>
    <w:rsid w:val="00426CF1"/>
    <w:rsid w:val="00427356"/>
    <w:rsid w:val="00427CD8"/>
    <w:rsid w:val="00430D76"/>
    <w:rsid w:val="004433B9"/>
    <w:rsid w:val="00443B91"/>
    <w:rsid w:val="00443BFD"/>
    <w:rsid w:val="00445D0D"/>
    <w:rsid w:val="00451DE3"/>
    <w:rsid w:val="004557B7"/>
    <w:rsid w:val="00457170"/>
    <w:rsid w:val="004608D1"/>
    <w:rsid w:val="00460962"/>
    <w:rsid w:val="00465AE9"/>
    <w:rsid w:val="00467072"/>
    <w:rsid w:val="0046780F"/>
    <w:rsid w:val="00472E04"/>
    <w:rsid w:val="00477649"/>
    <w:rsid w:val="004802CB"/>
    <w:rsid w:val="00484292"/>
    <w:rsid w:val="00484543"/>
    <w:rsid w:val="004853F5"/>
    <w:rsid w:val="0048555C"/>
    <w:rsid w:val="00491237"/>
    <w:rsid w:val="004920F6"/>
    <w:rsid w:val="004946DF"/>
    <w:rsid w:val="004971BB"/>
    <w:rsid w:val="004A3A0E"/>
    <w:rsid w:val="004A7702"/>
    <w:rsid w:val="004C1EC6"/>
    <w:rsid w:val="004D2804"/>
    <w:rsid w:val="004D40A8"/>
    <w:rsid w:val="004D55F4"/>
    <w:rsid w:val="004E0AD7"/>
    <w:rsid w:val="004F6C7B"/>
    <w:rsid w:val="00501918"/>
    <w:rsid w:val="005075BA"/>
    <w:rsid w:val="00507E53"/>
    <w:rsid w:val="00510644"/>
    <w:rsid w:val="00510FD2"/>
    <w:rsid w:val="005229AC"/>
    <w:rsid w:val="00523937"/>
    <w:rsid w:val="00524915"/>
    <w:rsid w:val="00525E26"/>
    <w:rsid w:val="00526413"/>
    <w:rsid w:val="00527335"/>
    <w:rsid w:val="00540E17"/>
    <w:rsid w:val="00541401"/>
    <w:rsid w:val="005473FF"/>
    <w:rsid w:val="00547CE8"/>
    <w:rsid w:val="00555899"/>
    <w:rsid w:val="005636A9"/>
    <w:rsid w:val="00575637"/>
    <w:rsid w:val="00580EDA"/>
    <w:rsid w:val="0058229F"/>
    <w:rsid w:val="005828B4"/>
    <w:rsid w:val="00584DA2"/>
    <w:rsid w:val="00587136"/>
    <w:rsid w:val="00594C5D"/>
    <w:rsid w:val="00597620"/>
    <w:rsid w:val="005A2BF2"/>
    <w:rsid w:val="005A43E3"/>
    <w:rsid w:val="005B3486"/>
    <w:rsid w:val="005B65CE"/>
    <w:rsid w:val="005B71A4"/>
    <w:rsid w:val="005C1887"/>
    <w:rsid w:val="005C523B"/>
    <w:rsid w:val="005C693D"/>
    <w:rsid w:val="005E192C"/>
    <w:rsid w:val="005E3ED5"/>
    <w:rsid w:val="005E6774"/>
    <w:rsid w:val="005F5B7E"/>
    <w:rsid w:val="005F6104"/>
    <w:rsid w:val="005F6489"/>
    <w:rsid w:val="00601E86"/>
    <w:rsid w:val="00602D79"/>
    <w:rsid w:val="00604CB8"/>
    <w:rsid w:val="006115C4"/>
    <w:rsid w:val="006204D9"/>
    <w:rsid w:val="006300EC"/>
    <w:rsid w:val="00634CB2"/>
    <w:rsid w:val="00634E91"/>
    <w:rsid w:val="0063558E"/>
    <w:rsid w:val="0063733C"/>
    <w:rsid w:val="00641A5C"/>
    <w:rsid w:val="0065347B"/>
    <w:rsid w:val="00653E31"/>
    <w:rsid w:val="00656728"/>
    <w:rsid w:val="0065679E"/>
    <w:rsid w:val="006573BF"/>
    <w:rsid w:val="00667F8C"/>
    <w:rsid w:val="00673732"/>
    <w:rsid w:val="006837CE"/>
    <w:rsid w:val="006844D0"/>
    <w:rsid w:val="00695EB8"/>
    <w:rsid w:val="006A4CB3"/>
    <w:rsid w:val="006C3213"/>
    <w:rsid w:val="006D0867"/>
    <w:rsid w:val="006D0B42"/>
    <w:rsid w:val="006D6549"/>
    <w:rsid w:val="006E3E6D"/>
    <w:rsid w:val="006E4456"/>
    <w:rsid w:val="006E5E2A"/>
    <w:rsid w:val="006F5EFD"/>
    <w:rsid w:val="006F6455"/>
    <w:rsid w:val="006F67ED"/>
    <w:rsid w:val="00700EAF"/>
    <w:rsid w:val="00711A88"/>
    <w:rsid w:val="007138D5"/>
    <w:rsid w:val="007574AF"/>
    <w:rsid w:val="00765760"/>
    <w:rsid w:val="00772BA3"/>
    <w:rsid w:val="00774299"/>
    <w:rsid w:val="007757EB"/>
    <w:rsid w:val="00775DEA"/>
    <w:rsid w:val="007779A4"/>
    <w:rsid w:val="00784D18"/>
    <w:rsid w:val="00790EE9"/>
    <w:rsid w:val="007948E2"/>
    <w:rsid w:val="00796B84"/>
    <w:rsid w:val="00796C4A"/>
    <w:rsid w:val="007A0847"/>
    <w:rsid w:val="007A1ACB"/>
    <w:rsid w:val="007A63B5"/>
    <w:rsid w:val="007B15CC"/>
    <w:rsid w:val="007B1A7A"/>
    <w:rsid w:val="007B2354"/>
    <w:rsid w:val="007B5D06"/>
    <w:rsid w:val="007B6D0F"/>
    <w:rsid w:val="007B6FFF"/>
    <w:rsid w:val="007C3641"/>
    <w:rsid w:val="007F1061"/>
    <w:rsid w:val="007F56D7"/>
    <w:rsid w:val="00803991"/>
    <w:rsid w:val="008162EA"/>
    <w:rsid w:val="0082471A"/>
    <w:rsid w:val="00825018"/>
    <w:rsid w:val="00827E5F"/>
    <w:rsid w:val="0083352E"/>
    <w:rsid w:val="008400D3"/>
    <w:rsid w:val="008479E1"/>
    <w:rsid w:val="008508AA"/>
    <w:rsid w:val="0085225F"/>
    <w:rsid w:val="008539B5"/>
    <w:rsid w:val="00862C05"/>
    <w:rsid w:val="0086482D"/>
    <w:rsid w:val="008671E4"/>
    <w:rsid w:val="0087384A"/>
    <w:rsid w:val="008741C7"/>
    <w:rsid w:val="00876B0D"/>
    <w:rsid w:val="00880495"/>
    <w:rsid w:val="008A1E90"/>
    <w:rsid w:val="008A41BD"/>
    <w:rsid w:val="008B0963"/>
    <w:rsid w:val="008B3457"/>
    <w:rsid w:val="008C6886"/>
    <w:rsid w:val="008C7D58"/>
    <w:rsid w:val="008D3FA3"/>
    <w:rsid w:val="008E1E07"/>
    <w:rsid w:val="008E3C07"/>
    <w:rsid w:val="008F0A45"/>
    <w:rsid w:val="008F4102"/>
    <w:rsid w:val="008F4558"/>
    <w:rsid w:val="008F47ED"/>
    <w:rsid w:val="008F6109"/>
    <w:rsid w:val="008F6F40"/>
    <w:rsid w:val="00913B6D"/>
    <w:rsid w:val="00917B07"/>
    <w:rsid w:val="009205DF"/>
    <w:rsid w:val="00922739"/>
    <w:rsid w:val="009349DA"/>
    <w:rsid w:val="009476E2"/>
    <w:rsid w:val="0095041C"/>
    <w:rsid w:val="0095754A"/>
    <w:rsid w:val="00964D82"/>
    <w:rsid w:val="00966F66"/>
    <w:rsid w:val="00972CE2"/>
    <w:rsid w:val="0097339A"/>
    <w:rsid w:val="00976FCF"/>
    <w:rsid w:val="00977489"/>
    <w:rsid w:val="0098695B"/>
    <w:rsid w:val="009924F6"/>
    <w:rsid w:val="00993437"/>
    <w:rsid w:val="009A6B93"/>
    <w:rsid w:val="009A7060"/>
    <w:rsid w:val="009B047A"/>
    <w:rsid w:val="009B1268"/>
    <w:rsid w:val="009C1964"/>
    <w:rsid w:val="009D06A6"/>
    <w:rsid w:val="009E1EBD"/>
    <w:rsid w:val="009F1587"/>
    <w:rsid w:val="00A006FB"/>
    <w:rsid w:val="00A113F4"/>
    <w:rsid w:val="00A13631"/>
    <w:rsid w:val="00A14E1D"/>
    <w:rsid w:val="00A15AC2"/>
    <w:rsid w:val="00A168FE"/>
    <w:rsid w:val="00A20D07"/>
    <w:rsid w:val="00A34222"/>
    <w:rsid w:val="00A34815"/>
    <w:rsid w:val="00A34FEB"/>
    <w:rsid w:val="00A3533A"/>
    <w:rsid w:val="00A41E11"/>
    <w:rsid w:val="00A56495"/>
    <w:rsid w:val="00A61346"/>
    <w:rsid w:val="00A6596B"/>
    <w:rsid w:val="00A85878"/>
    <w:rsid w:val="00A87AB7"/>
    <w:rsid w:val="00A953BB"/>
    <w:rsid w:val="00AA54E4"/>
    <w:rsid w:val="00AB3EAA"/>
    <w:rsid w:val="00AC296A"/>
    <w:rsid w:val="00AD065B"/>
    <w:rsid w:val="00AD4663"/>
    <w:rsid w:val="00AE6E50"/>
    <w:rsid w:val="00B01FDA"/>
    <w:rsid w:val="00B058EF"/>
    <w:rsid w:val="00B12EE8"/>
    <w:rsid w:val="00B146F9"/>
    <w:rsid w:val="00B158AE"/>
    <w:rsid w:val="00B15A64"/>
    <w:rsid w:val="00B17BDA"/>
    <w:rsid w:val="00B22E1D"/>
    <w:rsid w:val="00B32FF7"/>
    <w:rsid w:val="00B37AE9"/>
    <w:rsid w:val="00B41F05"/>
    <w:rsid w:val="00B43582"/>
    <w:rsid w:val="00B44E16"/>
    <w:rsid w:val="00B45ED9"/>
    <w:rsid w:val="00B46B9C"/>
    <w:rsid w:val="00B46CD7"/>
    <w:rsid w:val="00B473A5"/>
    <w:rsid w:val="00B47DBB"/>
    <w:rsid w:val="00B56A02"/>
    <w:rsid w:val="00B61145"/>
    <w:rsid w:val="00B6416C"/>
    <w:rsid w:val="00B71111"/>
    <w:rsid w:val="00B73D8C"/>
    <w:rsid w:val="00B756AD"/>
    <w:rsid w:val="00B830A7"/>
    <w:rsid w:val="00B9076C"/>
    <w:rsid w:val="00B91A59"/>
    <w:rsid w:val="00BB279E"/>
    <w:rsid w:val="00BB4AC1"/>
    <w:rsid w:val="00BC1B92"/>
    <w:rsid w:val="00BC5B99"/>
    <w:rsid w:val="00BC665D"/>
    <w:rsid w:val="00BD1CBF"/>
    <w:rsid w:val="00BD1E34"/>
    <w:rsid w:val="00BD2620"/>
    <w:rsid w:val="00BD3DAF"/>
    <w:rsid w:val="00BD64BE"/>
    <w:rsid w:val="00BE59B0"/>
    <w:rsid w:val="00BE5C16"/>
    <w:rsid w:val="00BE76F9"/>
    <w:rsid w:val="00BF4E88"/>
    <w:rsid w:val="00C03C59"/>
    <w:rsid w:val="00C05FB8"/>
    <w:rsid w:val="00C12289"/>
    <w:rsid w:val="00C14140"/>
    <w:rsid w:val="00C143DC"/>
    <w:rsid w:val="00C1646B"/>
    <w:rsid w:val="00C165F6"/>
    <w:rsid w:val="00C17CFB"/>
    <w:rsid w:val="00C17E8A"/>
    <w:rsid w:val="00C2145C"/>
    <w:rsid w:val="00C22779"/>
    <w:rsid w:val="00C23105"/>
    <w:rsid w:val="00C25D59"/>
    <w:rsid w:val="00C276CA"/>
    <w:rsid w:val="00C30681"/>
    <w:rsid w:val="00C30804"/>
    <w:rsid w:val="00C30B71"/>
    <w:rsid w:val="00C327BA"/>
    <w:rsid w:val="00C34E1D"/>
    <w:rsid w:val="00C514C8"/>
    <w:rsid w:val="00C55969"/>
    <w:rsid w:val="00C56CCE"/>
    <w:rsid w:val="00C620FD"/>
    <w:rsid w:val="00C63802"/>
    <w:rsid w:val="00C6466A"/>
    <w:rsid w:val="00C74913"/>
    <w:rsid w:val="00C770C1"/>
    <w:rsid w:val="00C77935"/>
    <w:rsid w:val="00C967CF"/>
    <w:rsid w:val="00C96D7E"/>
    <w:rsid w:val="00CA089A"/>
    <w:rsid w:val="00CB0022"/>
    <w:rsid w:val="00CB1A01"/>
    <w:rsid w:val="00CB3C12"/>
    <w:rsid w:val="00CB695E"/>
    <w:rsid w:val="00CC33F2"/>
    <w:rsid w:val="00CC3A6A"/>
    <w:rsid w:val="00CD0A12"/>
    <w:rsid w:val="00CD3634"/>
    <w:rsid w:val="00CD3E8E"/>
    <w:rsid w:val="00CD5024"/>
    <w:rsid w:val="00CD66C2"/>
    <w:rsid w:val="00CF674A"/>
    <w:rsid w:val="00D04557"/>
    <w:rsid w:val="00D05FAA"/>
    <w:rsid w:val="00D0727C"/>
    <w:rsid w:val="00D10561"/>
    <w:rsid w:val="00D1185C"/>
    <w:rsid w:val="00D256FE"/>
    <w:rsid w:val="00D3147B"/>
    <w:rsid w:val="00D325BE"/>
    <w:rsid w:val="00D347EB"/>
    <w:rsid w:val="00D349E0"/>
    <w:rsid w:val="00D35382"/>
    <w:rsid w:val="00D35BC0"/>
    <w:rsid w:val="00D43D80"/>
    <w:rsid w:val="00D46DDB"/>
    <w:rsid w:val="00D54817"/>
    <w:rsid w:val="00D578C2"/>
    <w:rsid w:val="00D63823"/>
    <w:rsid w:val="00D63BD5"/>
    <w:rsid w:val="00D678BD"/>
    <w:rsid w:val="00D71319"/>
    <w:rsid w:val="00D736B7"/>
    <w:rsid w:val="00D7567B"/>
    <w:rsid w:val="00DA6D80"/>
    <w:rsid w:val="00DC2002"/>
    <w:rsid w:val="00DC45E4"/>
    <w:rsid w:val="00DC7A5E"/>
    <w:rsid w:val="00DD2F7E"/>
    <w:rsid w:val="00DE2278"/>
    <w:rsid w:val="00DE79F4"/>
    <w:rsid w:val="00E0267D"/>
    <w:rsid w:val="00E049A3"/>
    <w:rsid w:val="00E117F2"/>
    <w:rsid w:val="00E12324"/>
    <w:rsid w:val="00E1494E"/>
    <w:rsid w:val="00E174BF"/>
    <w:rsid w:val="00E205AE"/>
    <w:rsid w:val="00E20825"/>
    <w:rsid w:val="00E25786"/>
    <w:rsid w:val="00E30C0C"/>
    <w:rsid w:val="00E30CFD"/>
    <w:rsid w:val="00E434C9"/>
    <w:rsid w:val="00E4398C"/>
    <w:rsid w:val="00E5083D"/>
    <w:rsid w:val="00E54EC5"/>
    <w:rsid w:val="00E57892"/>
    <w:rsid w:val="00E60C9A"/>
    <w:rsid w:val="00E61D3A"/>
    <w:rsid w:val="00E623BD"/>
    <w:rsid w:val="00E73CFD"/>
    <w:rsid w:val="00E901F3"/>
    <w:rsid w:val="00E90B7C"/>
    <w:rsid w:val="00E93A90"/>
    <w:rsid w:val="00E95C5E"/>
    <w:rsid w:val="00EA14F4"/>
    <w:rsid w:val="00EA1932"/>
    <w:rsid w:val="00EA4864"/>
    <w:rsid w:val="00EA6654"/>
    <w:rsid w:val="00EC1057"/>
    <w:rsid w:val="00EC5236"/>
    <w:rsid w:val="00ED17B6"/>
    <w:rsid w:val="00EE07E6"/>
    <w:rsid w:val="00EE6164"/>
    <w:rsid w:val="00EF024B"/>
    <w:rsid w:val="00F05C7B"/>
    <w:rsid w:val="00F1634C"/>
    <w:rsid w:val="00F24FCE"/>
    <w:rsid w:val="00F251E2"/>
    <w:rsid w:val="00F41DD2"/>
    <w:rsid w:val="00F4230F"/>
    <w:rsid w:val="00F449D0"/>
    <w:rsid w:val="00F475D3"/>
    <w:rsid w:val="00F477D5"/>
    <w:rsid w:val="00F54E26"/>
    <w:rsid w:val="00F63E57"/>
    <w:rsid w:val="00F7057B"/>
    <w:rsid w:val="00F81A2A"/>
    <w:rsid w:val="00FA2474"/>
    <w:rsid w:val="00FB62D6"/>
    <w:rsid w:val="00FB66A0"/>
    <w:rsid w:val="00FB6E3A"/>
    <w:rsid w:val="00FC19E8"/>
    <w:rsid w:val="00FC3AC7"/>
    <w:rsid w:val="00FC7AF5"/>
    <w:rsid w:val="00FD02DA"/>
    <w:rsid w:val="00FD7284"/>
    <w:rsid w:val="00FE5120"/>
    <w:rsid w:val="00FE535E"/>
    <w:rsid w:val="00FE6E20"/>
    <w:rsid w:val="00FE712D"/>
    <w:rsid w:val="22D2CE8A"/>
    <w:rsid w:val="366675D4"/>
    <w:rsid w:val="3ABF73F5"/>
    <w:rsid w:val="4ABF8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EEB7C76"/>
  <w15:docId w15:val="{A5E88B50-D28D-48A6-A370-1DC777CA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3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1"/>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 w:type="paragraph" w:customStyle="1" w:styleId="paragraph">
    <w:name w:val="paragraph"/>
    <w:basedOn w:val="Normal"/>
    <w:rsid w:val="00796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6C4A"/>
  </w:style>
  <w:style w:type="character" w:customStyle="1" w:styleId="eop">
    <w:name w:val="eop"/>
    <w:basedOn w:val="DefaultParagraphFont"/>
    <w:rsid w:val="00796C4A"/>
  </w:style>
  <w:style w:type="character" w:customStyle="1" w:styleId="contextualspellingandgrammarerror">
    <w:name w:val="contextualspellingandgrammarerror"/>
    <w:basedOn w:val="DefaultParagraphFont"/>
    <w:rsid w:val="00796C4A"/>
  </w:style>
  <w:style w:type="character" w:styleId="UnresolvedMention">
    <w:name w:val="Unresolved Mention"/>
    <w:basedOn w:val="DefaultParagraphFont"/>
    <w:uiPriority w:val="99"/>
    <w:semiHidden/>
    <w:unhideWhenUsed/>
    <w:rsid w:val="001B32D7"/>
    <w:rPr>
      <w:color w:val="605E5C"/>
      <w:shd w:val="clear" w:color="auto" w:fill="E1DFDD"/>
    </w:rPr>
  </w:style>
  <w:style w:type="paragraph" w:customStyle="1" w:styleId="cqc-normal">
    <w:name w:val="cqc-normal"/>
    <w:basedOn w:val="Normal"/>
    <w:rsid w:val="00D325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A4A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A3D"/>
    <w:rPr>
      <w:sz w:val="20"/>
      <w:szCs w:val="20"/>
    </w:rPr>
  </w:style>
  <w:style w:type="character" w:styleId="FootnoteReference">
    <w:name w:val="footnote reference"/>
    <w:basedOn w:val="DefaultParagraphFont"/>
    <w:uiPriority w:val="99"/>
    <w:semiHidden/>
    <w:unhideWhenUsed/>
    <w:rsid w:val="001A4A3D"/>
    <w:rPr>
      <w:vertAlign w:val="superscript"/>
    </w:rPr>
  </w:style>
  <w:style w:type="paragraph" w:customStyle="1" w:styleId="indent">
    <w:name w:val="indent"/>
    <w:basedOn w:val="Normal"/>
    <w:uiPriority w:val="99"/>
    <w:rsid w:val="009476E2"/>
    <w:pPr>
      <w:spacing w:after="0" w:line="240" w:lineRule="auto"/>
      <w:ind w:left="357"/>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636">
      <w:bodyDiv w:val="1"/>
      <w:marLeft w:val="0"/>
      <w:marRight w:val="0"/>
      <w:marTop w:val="0"/>
      <w:marBottom w:val="0"/>
      <w:divBdr>
        <w:top w:val="none" w:sz="0" w:space="0" w:color="auto"/>
        <w:left w:val="none" w:sz="0" w:space="0" w:color="auto"/>
        <w:bottom w:val="none" w:sz="0" w:space="0" w:color="auto"/>
        <w:right w:val="none" w:sz="0" w:space="0" w:color="auto"/>
      </w:divBdr>
    </w:div>
    <w:div w:id="225844548">
      <w:bodyDiv w:val="1"/>
      <w:marLeft w:val="0"/>
      <w:marRight w:val="0"/>
      <w:marTop w:val="0"/>
      <w:marBottom w:val="0"/>
      <w:divBdr>
        <w:top w:val="none" w:sz="0" w:space="0" w:color="auto"/>
        <w:left w:val="none" w:sz="0" w:space="0" w:color="auto"/>
        <w:bottom w:val="none" w:sz="0" w:space="0" w:color="auto"/>
        <w:right w:val="none" w:sz="0" w:space="0" w:color="auto"/>
      </w:divBdr>
    </w:div>
    <w:div w:id="338120218">
      <w:bodyDiv w:val="1"/>
      <w:marLeft w:val="0"/>
      <w:marRight w:val="0"/>
      <w:marTop w:val="0"/>
      <w:marBottom w:val="0"/>
      <w:divBdr>
        <w:top w:val="none" w:sz="0" w:space="0" w:color="auto"/>
        <w:left w:val="none" w:sz="0" w:space="0" w:color="auto"/>
        <w:bottom w:val="none" w:sz="0" w:space="0" w:color="auto"/>
        <w:right w:val="none" w:sz="0" w:space="0" w:color="auto"/>
      </w:divBdr>
      <w:divsChild>
        <w:div w:id="705561404">
          <w:marLeft w:val="720"/>
          <w:marRight w:val="0"/>
          <w:marTop w:val="0"/>
          <w:marBottom w:val="0"/>
          <w:divBdr>
            <w:top w:val="none" w:sz="0" w:space="0" w:color="auto"/>
            <w:left w:val="none" w:sz="0" w:space="0" w:color="auto"/>
            <w:bottom w:val="none" w:sz="0" w:space="0" w:color="auto"/>
            <w:right w:val="none" w:sz="0" w:space="0" w:color="auto"/>
          </w:divBdr>
        </w:div>
      </w:divsChild>
    </w:div>
    <w:div w:id="380792671">
      <w:bodyDiv w:val="1"/>
      <w:marLeft w:val="0"/>
      <w:marRight w:val="0"/>
      <w:marTop w:val="0"/>
      <w:marBottom w:val="0"/>
      <w:divBdr>
        <w:top w:val="none" w:sz="0" w:space="0" w:color="auto"/>
        <w:left w:val="none" w:sz="0" w:space="0" w:color="auto"/>
        <w:bottom w:val="none" w:sz="0" w:space="0" w:color="auto"/>
        <w:right w:val="none" w:sz="0" w:space="0" w:color="auto"/>
      </w:divBdr>
    </w:div>
    <w:div w:id="393359610">
      <w:bodyDiv w:val="1"/>
      <w:marLeft w:val="0"/>
      <w:marRight w:val="0"/>
      <w:marTop w:val="0"/>
      <w:marBottom w:val="0"/>
      <w:divBdr>
        <w:top w:val="none" w:sz="0" w:space="0" w:color="auto"/>
        <w:left w:val="none" w:sz="0" w:space="0" w:color="auto"/>
        <w:bottom w:val="none" w:sz="0" w:space="0" w:color="auto"/>
        <w:right w:val="none" w:sz="0" w:space="0" w:color="auto"/>
      </w:divBdr>
    </w:div>
    <w:div w:id="398790605">
      <w:bodyDiv w:val="1"/>
      <w:marLeft w:val="0"/>
      <w:marRight w:val="0"/>
      <w:marTop w:val="0"/>
      <w:marBottom w:val="0"/>
      <w:divBdr>
        <w:top w:val="none" w:sz="0" w:space="0" w:color="auto"/>
        <w:left w:val="none" w:sz="0" w:space="0" w:color="auto"/>
        <w:bottom w:val="none" w:sz="0" w:space="0" w:color="auto"/>
        <w:right w:val="none" w:sz="0" w:space="0" w:color="auto"/>
      </w:divBdr>
    </w:div>
    <w:div w:id="472914357">
      <w:bodyDiv w:val="1"/>
      <w:marLeft w:val="0"/>
      <w:marRight w:val="0"/>
      <w:marTop w:val="0"/>
      <w:marBottom w:val="0"/>
      <w:divBdr>
        <w:top w:val="none" w:sz="0" w:space="0" w:color="auto"/>
        <w:left w:val="none" w:sz="0" w:space="0" w:color="auto"/>
        <w:bottom w:val="none" w:sz="0" w:space="0" w:color="auto"/>
        <w:right w:val="none" w:sz="0" w:space="0" w:color="auto"/>
      </w:divBdr>
      <w:divsChild>
        <w:div w:id="679504602">
          <w:marLeft w:val="720"/>
          <w:marRight w:val="0"/>
          <w:marTop w:val="0"/>
          <w:marBottom w:val="0"/>
          <w:divBdr>
            <w:top w:val="none" w:sz="0" w:space="0" w:color="auto"/>
            <w:left w:val="none" w:sz="0" w:space="0" w:color="auto"/>
            <w:bottom w:val="none" w:sz="0" w:space="0" w:color="auto"/>
            <w:right w:val="none" w:sz="0" w:space="0" w:color="auto"/>
          </w:divBdr>
        </w:div>
        <w:div w:id="1300646006">
          <w:marLeft w:val="720"/>
          <w:marRight w:val="0"/>
          <w:marTop w:val="0"/>
          <w:marBottom w:val="0"/>
          <w:divBdr>
            <w:top w:val="none" w:sz="0" w:space="0" w:color="auto"/>
            <w:left w:val="none" w:sz="0" w:space="0" w:color="auto"/>
            <w:bottom w:val="none" w:sz="0" w:space="0" w:color="auto"/>
            <w:right w:val="none" w:sz="0" w:space="0" w:color="auto"/>
          </w:divBdr>
        </w:div>
        <w:div w:id="1494950918">
          <w:marLeft w:val="720"/>
          <w:marRight w:val="0"/>
          <w:marTop w:val="0"/>
          <w:marBottom w:val="0"/>
          <w:divBdr>
            <w:top w:val="none" w:sz="0" w:space="0" w:color="auto"/>
            <w:left w:val="none" w:sz="0" w:space="0" w:color="auto"/>
            <w:bottom w:val="none" w:sz="0" w:space="0" w:color="auto"/>
            <w:right w:val="none" w:sz="0" w:space="0" w:color="auto"/>
          </w:divBdr>
        </w:div>
        <w:div w:id="1547912698">
          <w:marLeft w:val="720"/>
          <w:marRight w:val="0"/>
          <w:marTop w:val="0"/>
          <w:marBottom w:val="0"/>
          <w:divBdr>
            <w:top w:val="none" w:sz="0" w:space="0" w:color="auto"/>
            <w:left w:val="none" w:sz="0" w:space="0" w:color="auto"/>
            <w:bottom w:val="none" w:sz="0" w:space="0" w:color="auto"/>
            <w:right w:val="none" w:sz="0" w:space="0" w:color="auto"/>
          </w:divBdr>
        </w:div>
      </w:divsChild>
    </w:div>
    <w:div w:id="603534674">
      <w:bodyDiv w:val="1"/>
      <w:marLeft w:val="0"/>
      <w:marRight w:val="0"/>
      <w:marTop w:val="0"/>
      <w:marBottom w:val="0"/>
      <w:divBdr>
        <w:top w:val="none" w:sz="0" w:space="0" w:color="auto"/>
        <w:left w:val="none" w:sz="0" w:space="0" w:color="auto"/>
        <w:bottom w:val="none" w:sz="0" w:space="0" w:color="auto"/>
        <w:right w:val="none" w:sz="0" w:space="0" w:color="auto"/>
      </w:divBdr>
    </w:div>
    <w:div w:id="644044013">
      <w:bodyDiv w:val="1"/>
      <w:marLeft w:val="0"/>
      <w:marRight w:val="0"/>
      <w:marTop w:val="0"/>
      <w:marBottom w:val="0"/>
      <w:divBdr>
        <w:top w:val="none" w:sz="0" w:space="0" w:color="auto"/>
        <w:left w:val="none" w:sz="0" w:space="0" w:color="auto"/>
        <w:bottom w:val="none" w:sz="0" w:space="0" w:color="auto"/>
        <w:right w:val="none" w:sz="0" w:space="0" w:color="auto"/>
      </w:divBdr>
    </w:div>
    <w:div w:id="737703509">
      <w:bodyDiv w:val="1"/>
      <w:marLeft w:val="0"/>
      <w:marRight w:val="0"/>
      <w:marTop w:val="0"/>
      <w:marBottom w:val="0"/>
      <w:divBdr>
        <w:top w:val="none" w:sz="0" w:space="0" w:color="auto"/>
        <w:left w:val="none" w:sz="0" w:space="0" w:color="auto"/>
        <w:bottom w:val="none" w:sz="0" w:space="0" w:color="auto"/>
        <w:right w:val="none" w:sz="0" w:space="0" w:color="auto"/>
      </w:divBdr>
    </w:div>
    <w:div w:id="777991382">
      <w:bodyDiv w:val="1"/>
      <w:marLeft w:val="0"/>
      <w:marRight w:val="0"/>
      <w:marTop w:val="0"/>
      <w:marBottom w:val="0"/>
      <w:divBdr>
        <w:top w:val="none" w:sz="0" w:space="0" w:color="auto"/>
        <w:left w:val="none" w:sz="0" w:space="0" w:color="auto"/>
        <w:bottom w:val="none" w:sz="0" w:space="0" w:color="auto"/>
        <w:right w:val="none" w:sz="0" w:space="0" w:color="auto"/>
      </w:divBdr>
      <w:divsChild>
        <w:div w:id="1720519588">
          <w:marLeft w:val="547"/>
          <w:marRight w:val="0"/>
          <w:marTop w:val="0"/>
          <w:marBottom w:val="0"/>
          <w:divBdr>
            <w:top w:val="none" w:sz="0" w:space="0" w:color="auto"/>
            <w:left w:val="none" w:sz="0" w:space="0" w:color="auto"/>
            <w:bottom w:val="none" w:sz="0" w:space="0" w:color="auto"/>
            <w:right w:val="none" w:sz="0" w:space="0" w:color="auto"/>
          </w:divBdr>
        </w:div>
      </w:divsChild>
    </w:div>
    <w:div w:id="1033194493">
      <w:bodyDiv w:val="1"/>
      <w:marLeft w:val="0"/>
      <w:marRight w:val="0"/>
      <w:marTop w:val="0"/>
      <w:marBottom w:val="0"/>
      <w:divBdr>
        <w:top w:val="none" w:sz="0" w:space="0" w:color="auto"/>
        <w:left w:val="none" w:sz="0" w:space="0" w:color="auto"/>
        <w:bottom w:val="none" w:sz="0" w:space="0" w:color="auto"/>
        <w:right w:val="none" w:sz="0" w:space="0" w:color="auto"/>
      </w:divBdr>
    </w:div>
    <w:div w:id="1187908561">
      <w:bodyDiv w:val="1"/>
      <w:marLeft w:val="0"/>
      <w:marRight w:val="0"/>
      <w:marTop w:val="0"/>
      <w:marBottom w:val="0"/>
      <w:divBdr>
        <w:top w:val="none" w:sz="0" w:space="0" w:color="auto"/>
        <w:left w:val="none" w:sz="0" w:space="0" w:color="auto"/>
        <w:bottom w:val="none" w:sz="0" w:space="0" w:color="auto"/>
        <w:right w:val="none" w:sz="0" w:space="0" w:color="auto"/>
      </w:divBdr>
      <w:divsChild>
        <w:div w:id="281113586">
          <w:marLeft w:val="720"/>
          <w:marRight w:val="0"/>
          <w:marTop w:val="0"/>
          <w:marBottom w:val="0"/>
          <w:divBdr>
            <w:top w:val="none" w:sz="0" w:space="0" w:color="auto"/>
            <w:left w:val="none" w:sz="0" w:space="0" w:color="auto"/>
            <w:bottom w:val="none" w:sz="0" w:space="0" w:color="auto"/>
            <w:right w:val="none" w:sz="0" w:space="0" w:color="auto"/>
          </w:divBdr>
        </w:div>
        <w:div w:id="539099381">
          <w:marLeft w:val="720"/>
          <w:marRight w:val="0"/>
          <w:marTop w:val="0"/>
          <w:marBottom w:val="0"/>
          <w:divBdr>
            <w:top w:val="none" w:sz="0" w:space="0" w:color="auto"/>
            <w:left w:val="none" w:sz="0" w:space="0" w:color="auto"/>
            <w:bottom w:val="none" w:sz="0" w:space="0" w:color="auto"/>
            <w:right w:val="none" w:sz="0" w:space="0" w:color="auto"/>
          </w:divBdr>
        </w:div>
        <w:div w:id="727415054">
          <w:marLeft w:val="720"/>
          <w:marRight w:val="0"/>
          <w:marTop w:val="0"/>
          <w:marBottom w:val="0"/>
          <w:divBdr>
            <w:top w:val="none" w:sz="0" w:space="0" w:color="auto"/>
            <w:left w:val="none" w:sz="0" w:space="0" w:color="auto"/>
            <w:bottom w:val="none" w:sz="0" w:space="0" w:color="auto"/>
            <w:right w:val="none" w:sz="0" w:space="0" w:color="auto"/>
          </w:divBdr>
        </w:div>
      </w:divsChild>
    </w:div>
    <w:div w:id="1190295227">
      <w:bodyDiv w:val="1"/>
      <w:marLeft w:val="0"/>
      <w:marRight w:val="0"/>
      <w:marTop w:val="0"/>
      <w:marBottom w:val="0"/>
      <w:divBdr>
        <w:top w:val="none" w:sz="0" w:space="0" w:color="auto"/>
        <w:left w:val="none" w:sz="0" w:space="0" w:color="auto"/>
        <w:bottom w:val="none" w:sz="0" w:space="0" w:color="auto"/>
        <w:right w:val="none" w:sz="0" w:space="0" w:color="auto"/>
      </w:divBdr>
      <w:divsChild>
        <w:div w:id="64110189">
          <w:marLeft w:val="0"/>
          <w:marRight w:val="0"/>
          <w:marTop w:val="0"/>
          <w:marBottom w:val="0"/>
          <w:divBdr>
            <w:top w:val="none" w:sz="0" w:space="0" w:color="auto"/>
            <w:left w:val="none" w:sz="0" w:space="0" w:color="auto"/>
            <w:bottom w:val="none" w:sz="0" w:space="0" w:color="auto"/>
            <w:right w:val="none" w:sz="0" w:space="0" w:color="auto"/>
          </w:divBdr>
        </w:div>
        <w:div w:id="552473520">
          <w:marLeft w:val="0"/>
          <w:marRight w:val="0"/>
          <w:marTop w:val="0"/>
          <w:marBottom w:val="0"/>
          <w:divBdr>
            <w:top w:val="none" w:sz="0" w:space="0" w:color="auto"/>
            <w:left w:val="none" w:sz="0" w:space="0" w:color="auto"/>
            <w:bottom w:val="none" w:sz="0" w:space="0" w:color="auto"/>
            <w:right w:val="none" w:sz="0" w:space="0" w:color="auto"/>
          </w:divBdr>
        </w:div>
        <w:div w:id="591285308">
          <w:marLeft w:val="0"/>
          <w:marRight w:val="0"/>
          <w:marTop w:val="0"/>
          <w:marBottom w:val="0"/>
          <w:divBdr>
            <w:top w:val="none" w:sz="0" w:space="0" w:color="auto"/>
            <w:left w:val="none" w:sz="0" w:space="0" w:color="auto"/>
            <w:bottom w:val="none" w:sz="0" w:space="0" w:color="auto"/>
            <w:right w:val="none" w:sz="0" w:space="0" w:color="auto"/>
          </w:divBdr>
        </w:div>
        <w:div w:id="1223978776">
          <w:marLeft w:val="0"/>
          <w:marRight w:val="0"/>
          <w:marTop w:val="0"/>
          <w:marBottom w:val="0"/>
          <w:divBdr>
            <w:top w:val="none" w:sz="0" w:space="0" w:color="auto"/>
            <w:left w:val="none" w:sz="0" w:space="0" w:color="auto"/>
            <w:bottom w:val="none" w:sz="0" w:space="0" w:color="auto"/>
            <w:right w:val="none" w:sz="0" w:space="0" w:color="auto"/>
          </w:divBdr>
        </w:div>
        <w:div w:id="1418332912">
          <w:marLeft w:val="0"/>
          <w:marRight w:val="0"/>
          <w:marTop w:val="0"/>
          <w:marBottom w:val="0"/>
          <w:divBdr>
            <w:top w:val="none" w:sz="0" w:space="0" w:color="auto"/>
            <w:left w:val="none" w:sz="0" w:space="0" w:color="auto"/>
            <w:bottom w:val="none" w:sz="0" w:space="0" w:color="auto"/>
            <w:right w:val="none" w:sz="0" w:space="0" w:color="auto"/>
          </w:divBdr>
        </w:div>
        <w:div w:id="2071616837">
          <w:marLeft w:val="0"/>
          <w:marRight w:val="0"/>
          <w:marTop w:val="0"/>
          <w:marBottom w:val="0"/>
          <w:divBdr>
            <w:top w:val="none" w:sz="0" w:space="0" w:color="auto"/>
            <w:left w:val="none" w:sz="0" w:space="0" w:color="auto"/>
            <w:bottom w:val="none" w:sz="0" w:space="0" w:color="auto"/>
            <w:right w:val="none" w:sz="0" w:space="0" w:color="auto"/>
          </w:divBdr>
        </w:div>
        <w:div w:id="2094349503">
          <w:marLeft w:val="0"/>
          <w:marRight w:val="0"/>
          <w:marTop w:val="0"/>
          <w:marBottom w:val="0"/>
          <w:divBdr>
            <w:top w:val="none" w:sz="0" w:space="0" w:color="auto"/>
            <w:left w:val="none" w:sz="0" w:space="0" w:color="auto"/>
            <w:bottom w:val="none" w:sz="0" w:space="0" w:color="auto"/>
            <w:right w:val="none" w:sz="0" w:space="0" w:color="auto"/>
          </w:divBdr>
        </w:div>
      </w:divsChild>
    </w:div>
    <w:div w:id="1195919083">
      <w:bodyDiv w:val="1"/>
      <w:marLeft w:val="0"/>
      <w:marRight w:val="0"/>
      <w:marTop w:val="0"/>
      <w:marBottom w:val="0"/>
      <w:divBdr>
        <w:top w:val="none" w:sz="0" w:space="0" w:color="auto"/>
        <w:left w:val="none" w:sz="0" w:space="0" w:color="auto"/>
        <w:bottom w:val="none" w:sz="0" w:space="0" w:color="auto"/>
        <w:right w:val="none" w:sz="0" w:space="0" w:color="auto"/>
      </w:divBdr>
      <w:divsChild>
        <w:div w:id="334460275">
          <w:marLeft w:val="720"/>
          <w:marRight w:val="0"/>
          <w:marTop w:val="0"/>
          <w:marBottom w:val="0"/>
          <w:divBdr>
            <w:top w:val="none" w:sz="0" w:space="0" w:color="auto"/>
            <w:left w:val="none" w:sz="0" w:space="0" w:color="auto"/>
            <w:bottom w:val="none" w:sz="0" w:space="0" w:color="auto"/>
            <w:right w:val="none" w:sz="0" w:space="0" w:color="auto"/>
          </w:divBdr>
        </w:div>
        <w:div w:id="622276236">
          <w:marLeft w:val="720"/>
          <w:marRight w:val="0"/>
          <w:marTop w:val="0"/>
          <w:marBottom w:val="0"/>
          <w:divBdr>
            <w:top w:val="none" w:sz="0" w:space="0" w:color="auto"/>
            <w:left w:val="none" w:sz="0" w:space="0" w:color="auto"/>
            <w:bottom w:val="none" w:sz="0" w:space="0" w:color="auto"/>
            <w:right w:val="none" w:sz="0" w:space="0" w:color="auto"/>
          </w:divBdr>
        </w:div>
        <w:div w:id="731929264">
          <w:marLeft w:val="720"/>
          <w:marRight w:val="0"/>
          <w:marTop w:val="0"/>
          <w:marBottom w:val="0"/>
          <w:divBdr>
            <w:top w:val="none" w:sz="0" w:space="0" w:color="auto"/>
            <w:left w:val="none" w:sz="0" w:space="0" w:color="auto"/>
            <w:bottom w:val="none" w:sz="0" w:space="0" w:color="auto"/>
            <w:right w:val="none" w:sz="0" w:space="0" w:color="auto"/>
          </w:divBdr>
        </w:div>
        <w:div w:id="976715369">
          <w:marLeft w:val="720"/>
          <w:marRight w:val="0"/>
          <w:marTop w:val="0"/>
          <w:marBottom w:val="0"/>
          <w:divBdr>
            <w:top w:val="none" w:sz="0" w:space="0" w:color="auto"/>
            <w:left w:val="none" w:sz="0" w:space="0" w:color="auto"/>
            <w:bottom w:val="none" w:sz="0" w:space="0" w:color="auto"/>
            <w:right w:val="none" w:sz="0" w:space="0" w:color="auto"/>
          </w:divBdr>
        </w:div>
      </w:divsChild>
    </w:div>
    <w:div w:id="1274902072">
      <w:bodyDiv w:val="1"/>
      <w:marLeft w:val="0"/>
      <w:marRight w:val="0"/>
      <w:marTop w:val="0"/>
      <w:marBottom w:val="0"/>
      <w:divBdr>
        <w:top w:val="none" w:sz="0" w:space="0" w:color="auto"/>
        <w:left w:val="none" w:sz="0" w:space="0" w:color="auto"/>
        <w:bottom w:val="none" w:sz="0" w:space="0" w:color="auto"/>
        <w:right w:val="none" w:sz="0" w:space="0" w:color="auto"/>
      </w:divBdr>
      <w:divsChild>
        <w:div w:id="573202363">
          <w:marLeft w:val="720"/>
          <w:marRight w:val="0"/>
          <w:marTop w:val="0"/>
          <w:marBottom w:val="0"/>
          <w:divBdr>
            <w:top w:val="none" w:sz="0" w:space="0" w:color="auto"/>
            <w:left w:val="none" w:sz="0" w:space="0" w:color="auto"/>
            <w:bottom w:val="none" w:sz="0" w:space="0" w:color="auto"/>
            <w:right w:val="none" w:sz="0" w:space="0" w:color="auto"/>
          </w:divBdr>
        </w:div>
        <w:div w:id="882250333">
          <w:marLeft w:val="720"/>
          <w:marRight w:val="0"/>
          <w:marTop w:val="0"/>
          <w:marBottom w:val="0"/>
          <w:divBdr>
            <w:top w:val="none" w:sz="0" w:space="0" w:color="auto"/>
            <w:left w:val="none" w:sz="0" w:space="0" w:color="auto"/>
            <w:bottom w:val="none" w:sz="0" w:space="0" w:color="auto"/>
            <w:right w:val="none" w:sz="0" w:space="0" w:color="auto"/>
          </w:divBdr>
        </w:div>
        <w:div w:id="1781990351">
          <w:marLeft w:val="720"/>
          <w:marRight w:val="0"/>
          <w:marTop w:val="0"/>
          <w:marBottom w:val="0"/>
          <w:divBdr>
            <w:top w:val="none" w:sz="0" w:space="0" w:color="auto"/>
            <w:left w:val="none" w:sz="0" w:space="0" w:color="auto"/>
            <w:bottom w:val="none" w:sz="0" w:space="0" w:color="auto"/>
            <w:right w:val="none" w:sz="0" w:space="0" w:color="auto"/>
          </w:divBdr>
        </w:div>
        <w:div w:id="1949967524">
          <w:marLeft w:val="720"/>
          <w:marRight w:val="0"/>
          <w:marTop w:val="0"/>
          <w:marBottom w:val="0"/>
          <w:divBdr>
            <w:top w:val="none" w:sz="0" w:space="0" w:color="auto"/>
            <w:left w:val="none" w:sz="0" w:space="0" w:color="auto"/>
            <w:bottom w:val="none" w:sz="0" w:space="0" w:color="auto"/>
            <w:right w:val="none" w:sz="0" w:space="0" w:color="auto"/>
          </w:divBdr>
        </w:div>
      </w:divsChild>
    </w:div>
    <w:div w:id="1319768403">
      <w:bodyDiv w:val="1"/>
      <w:marLeft w:val="0"/>
      <w:marRight w:val="0"/>
      <w:marTop w:val="0"/>
      <w:marBottom w:val="0"/>
      <w:divBdr>
        <w:top w:val="none" w:sz="0" w:space="0" w:color="auto"/>
        <w:left w:val="none" w:sz="0" w:space="0" w:color="auto"/>
        <w:bottom w:val="none" w:sz="0" w:space="0" w:color="auto"/>
        <w:right w:val="none" w:sz="0" w:space="0" w:color="auto"/>
      </w:divBdr>
      <w:divsChild>
        <w:div w:id="133720207">
          <w:marLeft w:val="446"/>
          <w:marRight w:val="0"/>
          <w:marTop w:val="0"/>
          <w:marBottom w:val="0"/>
          <w:divBdr>
            <w:top w:val="none" w:sz="0" w:space="0" w:color="auto"/>
            <w:left w:val="none" w:sz="0" w:space="0" w:color="auto"/>
            <w:bottom w:val="none" w:sz="0" w:space="0" w:color="auto"/>
            <w:right w:val="none" w:sz="0" w:space="0" w:color="auto"/>
          </w:divBdr>
        </w:div>
        <w:div w:id="328219446">
          <w:marLeft w:val="446"/>
          <w:marRight w:val="0"/>
          <w:marTop w:val="0"/>
          <w:marBottom w:val="0"/>
          <w:divBdr>
            <w:top w:val="none" w:sz="0" w:space="0" w:color="auto"/>
            <w:left w:val="none" w:sz="0" w:space="0" w:color="auto"/>
            <w:bottom w:val="none" w:sz="0" w:space="0" w:color="auto"/>
            <w:right w:val="none" w:sz="0" w:space="0" w:color="auto"/>
          </w:divBdr>
        </w:div>
        <w:div w:id="962081800">
          <w:marLeft w:val="446"/>
          <w:marRight w:val="0"/>
          <w:marTop w:val="0"/>
          <w:marBottom w:val="0"/>
          <w:divBdr>
            <w:top w:val="none" w:sz="0" w:space="0" w:color="auto"/>
            <w:left w:val="none" w:sz="0" w:space="0" w:color="auto"/>
            <w:bottom w:val="none" w:sz="0" w:space="0" w:color="auto"/>
            <w:right w:val="none" w:sz="0" w:space="0" w:color="auto"/>
          </w:divBdr>
        </w:div>
        <w:div w:id="1150093027">
          <w:marLeft w:val="446"/>
          <w:marRight w:val="0"/>
          <w:marTop w:val="0"/>
          <w:marBottom w:val="0"/>
          <w:divBdr>
            <w:top w:val="none" w:sz="0" w:space="0" w:color="auto"/>
            <w:left w:val="none" w:sz="0" w:space="0" w:color="auto"/>
            <w:bottom w:val="none" w:sz="0" w:space="0" w:color="auto"/>
            <w:right w:val="none" w:sz="0" w:space="0" w:color="auto"/>
          </w:divBdr>
        </w:div>
        <w:div w:id="1677339406">
          <w:marLeft w:val="446"/>
          <w:marRight w:val="0"/>
          <w:marTop w:val="0"/>
          <w:marBottom w:val="0"/>
          <w:divBdr>
            <w:top w:val="none" w:sz="0" w:space="0" w:color="auto"/>
            <w:left w:val="none" w:sz="0" w:space="0" w:color="auto"/>
            <w:bottom w:val="none" w:sz="0" w:space="0" w:color="auto"/>
            <w:right w:val="none" w:sz="0" w:space="0" w:color="auto"/>
          </w:divBdr>
        </w:div>
        <w:div w:id="1693800660">
          <w:marLeft w:val="446"/>
          <w:marRight w:val="0"/>
          <w:marTop w:val="0"/>
          <w:marBottom w:val="0"/>
          <w:divBdr>
            <w:top w:val="none" w:sz="0" w:space="0" w:color="auto"/>
            <w:left w:val="none" w:sz="0" w:space="0" w:color="auto"/>
            <w:bottom w:val="none" w:sz="0" w:space="0" w:color="auto"/>
            <w:right w:val="none" w:sz="0" w:space="0" w:color="auto"/>
          </w:divBdr>
        </w:div>
      </w:divsChild>
    </w:div>
    <w:div w:id="1440104498">
      <w:bodyDiv w:val="1"/>
      <w:marLeft w:val="0"/>
      <w:marRight w:val="0"/>
      <w:marTop w:val="0"/>
      <w:marBottom w:val="0"/>
      <w:divBdr>
        <w:top w:val="none" w:sz="0" w:space="0" w:color="auto"/>
        <w:left w:val="none" w:sz="0" w:space="0" w:color="auto"/>
        <w:bottom w:val="none" w:sz="0" w:space="0" w:color="auto"/>
        <w:right w:val="none" w:sz="0" w:space="0" w:color="auto"/>
      </w:divBdr>
    </w:div>
    <w:div w:id="1445423121">
      <w:bodyDiv w:val="1"/>
      <w:marLeft w:val="0"/>
      <w:marRight w:val="0"/>
      <w:marTop w:val="0"/>
      <w:marBottom w:val="0"/>
      <w:divBdr>
        <w:top w:val="none" w:sz="0" w:space="0" w:color="auto"/>
        <w:left w:val="none" w:sz="0" w:space="0" w:color="auto"/>
        <w:bottom w:val="none" w:sz="0" w:space="0" w:color="auto"/>
        <w:right w:val="none" w:sz="0" w:space="0" w:color="auto"/>
      </w:divBdr>
    </w:div>
    <w:div w:id="1779644513">
      <w:bodyDiv w:val="1"/>
      <w:marLeft w:val="0"/>
      <w:marRight w:val="0"/>
      <w:marTop w:val="0"/>
      <w:marBottom w:val="0"/>
      <w:divBdr>
        <w:top w:val="none" w:sz="0" w:space="0" w:color="auto"/>
        <w:left w:val="none" w:sz="0" w:space="0" w:color="auto"/>
        <w:bottom w:val="none" w:sz="0" w:space="0" w:color="auto"/>
        <w:right w:val="none" w:sz="0" w:space="0" w:color="auto"/>
      </w:divBdr>
      <w:divsChild>
        <w:div w:id="1198620117">
          <w:marLeft w:val="547"/>
          <w:marRight w:val="0"/>
          <w:marTop w:val="0"/>
          <w:marBottom w:val="0"/>
          <w:divBdr>
            <w:top w:val="none" w:sz="0" w:space="0" w:color="auto"/>
            <w:left w:val="none" w:sz="0" w:space="0" w:color="auto"/>
            <w:bottom w:val="none" w:sz="0" w:space="0" w:color="auto"/>
            <w:right w:val="none" w:sz="0" w:space="0" w:color="auto"/>
          </w:divBdr>
        </w:div>
        <w:div w:id="1356031573">
          <w:marLeft w:val="547"/>
          <w:marRight w:val="0"/>
          <w:marTop w:val="0"/>
          <w:marBottom w:val="0"/>
          <w:divBdr>
            <w:top w:val="none" w:sz="0" w:space="0" w:color="auto"/>
            <w:left w:val="none" w:sz="0" w:space="0" w:color="auto"/>
            <w:bottom w:val="none" w:sz="0" w:space="0" w:color="auto"/>
            <w:right w:val="none" w:sz="0" w:space="0" w:color="auto"/>
          </w:divBdr>
        </w:div>
        <w:div w:id="1717657046">
          <w:marLeft w:val="547"/>
          <w:marRight w:val="0"/>
          <w:marTop w:val="0"/>
          <w:marBottom w:val="0"/>
          <w:divBdr>
            <w:top w:val="none" w:sz="0" w:space="0" w:color="auto"/>
            <w:left w:val="none" w:sz="0" w:space="0" w:color="auto"/>
            <w:bottom w:val="none" w:sz="0" w:space="0" w:color="auto"/>
            <w:right w:val="none" w:sz="0" w:space="0" w:color="auto"/>
          </w:divBdr>
        </w:div>
      </w:divsChild>
    </w:div>
    <w:div w:id="1821578085">
      <w:bodyDiv w:val="1"/>
      <w:marLeft w:val="0"/>
      <w:marRight w:val="0"/>
      <w:marTop w:val="0"/>
      <w:marBottom w:val="0"/>
      <w:divBdr>
        <w:top w:val="none" w:sz="0" w:space="0" w:color="auto"/>
        <w:left w:val="none" w:sz="0" w:space="0" w:color="auto"/>
        <w:bottom w:val="none" w:sz="0" w:space="0" w:color="auto"/>
        <w:right w:val="none" w:sz="0" w:space="0" w:color="auto"/>
      </w:divBdr>
      <w:divsChild>
        <w:div w:id="592130965">
          <w:marLeft w:val="446"/>
          <w:marRight w:val="0"/>
          <w:marTop w:val="0"/>
          <w:marBottom w:val="0"/>
          <w:divBdr>
            <w:top w:val="none" w:sz="0" w:space="0" w:color="auto"/>
            <w:left w:val="none" w:sz="0" w:space="0" w:color="auto"/>
            <w:bottom w:val="none" w:sz="0" w:space="0" w:color="auto"/>
            <w:right w:val="none" w:sz="0" w:space="0" w:color="auto"/>
          </w:divBdr>
        </w:div>
        <w:div w:id="711075971">
          <w:marLeft w:val="446"/>
          <w:marRight w:val="0"/>
          <w:marTop w:val="0"/>
          <w:marBottom w:val="0"/>
          <w:divBdr>
            <w:top w:val="none" w:sz="0" w:space="0" w:color="auto"/>
            <w:left w:val="none" w:sz="0" w:space="0" w:color="auto"/>
            <w:bottom w:val="none" w:sz="0" w:space="0" w:color="auto"/>
            <w:right w:val="none" w:sz="0" w:space="0" w:color="auto"/>
          </w:divBdr>
        </w:div>
        <w:div w:id="855391369">
          <w:marLeft w:val="446"/>
          <w:marRight w:val="0"/>
          <w:marTop w:val="0"/>
          <w:marBottom w:val="0"/>
          <w:divBdr>
            <w:top w:val="none" w:sz="0" w:space="0" w:color="auto"/>
            <w:left w:val="none" w:sz="0" w:space="0" w:color="auto"/>
            <w:bottom w:val="none" w:sz="0" w:space="0" w:color="auto"/>
            <w:right w:val="none" w:sz="0" w:space="0" w:color="auto"/>
          </w:divBdr>
        </w:div>
        <w:div w:id="1314335016">
          <w:marLeft w:val="446"/>
          <w:marRight w:val="0"/>
          <w:marTop w:val="0"/>
          <w:marBottom w:val="0"/>
          <w:divBdr>
            <w:top w:val="none" w:sz="0" w:space="0" w:color="auto"/>
            <w:left w:val="none" w:sz="0" w:space="0" w:color="auto"/>
            <w:bottom w:val="none" w:sz="0" w:space="0" w:color="auto"/>
            <w:right w:val="none" w:sz="0" w:space="0" w:color="auto"/>
          </w:divBdr>
        </w:div>
      </w:divsChild>
    </w:div>
    <w:div w:id="1898666092">
      <w:bodyDiv w:val="1"/>
      <w:marLeft w:val="0"/>
      <w:marRight w:val="0"/>
      <w:marTop w:val="0"/>
      <w:marBottom w:val="0"/>
      <w:divBdr>
        <w:top w:val="none" w:sz="0" w:space="0" w:color="auto"/>
        <w:left w:val="none" w:sz="0" w:space="0" w:color="auto"/>
        <w:bottom w:val="none" w:sz="0" w:space="0" w:color="auto"/>
        <w:right w:val="none" w:sz="0" w:space="0" w:color="auto"/>
      </w:divBdr>
    </w:div>
    <w:div w:id="1983852578">
      <w:bodyDiv w:val="1"/>
      <w:marLeft w:val="0"/>
      <w:marRight w:val="0"/>
      <w:marTop w:val="0"/>
      <w:marBottom w:val="0"/>
      <w:divBdr>
        <w:top w:val="none" w:sz="0" w:space="0" w:color="auto"/>
        <w:left w:val="none" w:sz="0" w:space="0" w:color="auto"/>
        <w:bottom w:val="none" w:sz="0" w:space="0" w:color="auto"/>
        <w:right w:val="none" w:sz="0" w:space="0" w:color="auto"/>
      </w:divBdr>
      <w:divsChild>
        <w:div w:id="309024447">
          <w:marLeft w:val="446"/>
          <w:marRight w:val="0"/>
          <w:marTop w:val="0"/>
          <w:marBottom w:val="0"/>
          <w:divBdr>
            <w:top w:val="none" w:sz="0" w:space="0" w:color="auto"/>
            <w:left w:val="none" w:sz="0" w:space="0" w:color="auto"/>
            <w:bottom w:val="none" w:sz="0" w:space="0" w:color="auto"/>
            <w:right w:val="none" w:sz="0" w:space="0" w:color="auto"/>
          </w:divBdr>
        </w:div>
        <w:div w:id="514659426">
          <w:marLeft w:val="446"/>
          <w:marRight w:val="0"/>
          <w:marTop w:val="0"/>
          <w:marBottom w:val="0"/>
          <w:divBdr>
            <w:top w:val="none" w:sz="0" w:space="0" w:color="auto"/>
            <w:left w:val="none" w:sz="0" w:space="0" w:color="auto"/>
            <w:bottom w:val="none" w:sz="0" w:space="0" w:color="auto"/>
            <w:right w:val="none" w:sz="0" w:space="0" w:color="auto"/>
          </w:divBdr>
        </w:div>
        <w:div w:id="832644409">
          <w:marLeft w:val="446"/>
          <w:marRight w:val="0"/>
          <w:marTop w:val="0"/>
          <w:marBottom w:val="0"/>
          <w:divBdr>
            <w:top w:val="none" w:sz="0" w:space="0" w:color="auto"/>
            <w:left w:val="none" w:sz="0" w:space="0" w:color="auto"/>
            <w:bottom w:val="none" w:sz="0" w:space="0" w:color="auto"/>
            <w:right w:val="none" w:sz="0" w:space="0" w:color="auto"/>
          </w:divBdr>
        </w:div>
        <w:div w:id="983198619">
          <w:marLeft w:val="446"/>
          <w:marRight w:val="0"/>
          <w:marTop w:val="0"/>
          <w:marBottom w:val="0"/>
          <w:divBdr>
            <w:top w:val="none" w:sz="0" w:space="0" w:color="auto"/>
            <w:left w:val="none" w:sz="0" w:space="0" w:color="auto"/>
            <w:bottom w:val="none" w:sz="0" w:space="0" w:color="auto"/>
            <w:right w:val="none" w:sz="0" w:space="0" w:color="auto"/>
          </w:divBdr>
        </w:div>
        <w:div w:id="1253010097">
          <w:marLeft w:val="446"/>
          <w:marRight w:val="0"/>
          <w:marTop w:val="0"/>
          <w:marBottom w:val="0"/>
          <w:divBdr>
            <w:top w:val="none" w:sz="0" w:space="0" w:color="auto"/>
            <w:left w:val="none" w:sz="0" w:space="0" w:color="auto"/>
            <w:bottom w:val="none" w:sz="0" w:space="0" w:color="auto"/>
            <w:right w:val="none" w:sz="0" w:space="0" w:color="auto"/>
          </w:divBdr>
        </w:div>
        <w:div w:id="1256591142">
          <w:marLeft w:val="446"/>
          <w:marRight w:val="0"/>
          <w:marTop w:val="0"/>
          <w:marBottom w:val="0"/>
          <w:divBdr>
            <w:top w:val="none" w:sz="0" w:space="0" w:color="auto"/>
            <w:left w:val="none" w:sz="0" w:space="0" w:color="auto"/>
            <w:bottom w:val="none" w:sz="0" w:space="0" w:color="auto"/>
            <w:right w:val="none" w:sz="0" w:space="0" w:color="auto"/>
          </w:divBdr>
        </w:div>
      </w:divsChild>
    </w:div>
    <w:div w:id="2058166191">
      <w:bodyDiv w:val="1"/>
      <w:marLeft w:val="0"/>
      <w:marRight w:val="0"/>
      <w:marTop w:val="0"/>
      <w:marBottom w:val="0"/>
      <w:divBdr>
        <w:top w:val="none" w:sz="0" w:space="0" w:color="auto"/>
        <w:left w:val="none" w:sz="0" w:space="0" w:color="auto"/>
        <w:bottom w:val="none" w:sz="0" w:space="0" w:color="auto"/>
        <w:right w:val="none" w:sz="0" w:space="0" w:color="auto"/>
      </w:divBdr>
    </w:div>
    <w:div w:id="209508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24bc36-2db9-4dd4-83ef-e2c9c598d6d6">
      <UserInfo>
        <DisplayName>Mel Lock</DisplayName>
        <AccountId>107</AccountId>
        <AccountType/>
      </UserInfo>
      <UserInfo>
        <DisplayName>Emily Fulbrook</DisplayName>
        <AccountId>167</AccountId>
        <AccountType/>
      </UserInfo>
      <UserInfo>
        <DisplayName>Paul Coles</DisplayName>
        <AccountId>97</AccountId>
        <AccountType/>
      </UserInfo>
      <UserInfo>
        <DisplayName>Cllr Heather Shearer</DisplayName>
        <AccountId>12748</AccountId>
        <AccountType/>
      </UserInfo>
      <UserInfo>
        <DisplayName>Anna Littlewood</DisplayName>
        <AccountId>10322</AccountId>
        <AccountType/>
      </UserInfo>
      <UserInfo>
        <DisplayName>Niki Shaw</DisplayName>
        <AccountId>22</AccountId>
        <AccountType/>
      </UserInfo>
      <UserInfo>
        <DisplayName>Duncan Sharkey</DisplayName>
        <AccountId>13397</AccountId>
        <AccountType/>
      </UserInfo>
    </SharedWithUsers>
    <lcf76f155ced4ddcb4097134ff3c332f xmlns="5adf8d29-218c-4d37-82ef-55d370ff0a3f">
      <Terms xmlns="http://schemas.microsoft.com/office/infopath/2007/PartnerControls"/>
    </lcf76f155ced4ddcb4097134ff3c332f>
    <TaxCatchAll xmlns="3e24bc36-2db9-4dd4-83ef-e2c9c598d6d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b6b569b-509a-467d-b105-d97728d3fc11" ContentTypeId="0x0101" PreviousValue="false" LastSyncTimeStamp="2018-02-02T11:34:11.21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DF3D5349599954FA69F6BB46D3E8F81" ma:contentTypeVersion="12" ma:contentTypeDescription="Create a new document." ma:contentTypeScope="" ma:versionID="ec8fa401eb1ec1b366e9ec59b454f001">
  <xsd:schema xmlns:xsd="http://www.w3.org/2001/XMLSchema" xmlns:xs="http://www.w3.org/2001/XMLSchema" xmlns:p="http://schemas.microsoft.com/office/2006/metadata/properties" xmlns:ns2="5adf8d29-218c-4d37-82ef-55d370ff0a3f" xmlns:ns3="3e24bc36-2db9-4dd4-83ef-e2c9c598d6d6" targetNamespace="http://schemas.microsoft.com/office/2006/metadata/properties" ma:root="true" ma:fieldsID="173f26e77a2d441b9da37d8baddc37fd" ns2:_="" ns3:_="">
    <xsd:import namespace="5adf8d29-218c-4d37-82ef-55d370ff0a3f"/>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f8d29-218c-4d37-82ef-55d370ff0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3e24bc36-2db9-4dd4-83ef-e2c9c598d6d6"/>
    <ds:schemaRef ds:uri="5adf8d29-218c-4d37-82ef-55d370ff0a3f"/>
  </ds:schemaRefs>
</ds:datastoreItem>
</file>

<file path=customXml/itemProps2.xml><?xml version="1.0" encoding="utf-8"?>
<ds:datastoreItem xmlns:ds="http://schemas.openxmlformats.org/officeDocument/2006/customXml" ds:itemID="{1F954F11-4CE8-46F3-9533-193C47F6ADE4}">
  <ds:schemaRefs>
    <ds:schemaRef ds:uri="http://schemas.openxmlformats.org/officeDocument/2006/bibliography"/>
  </ds:schemaRefs>
</ds:datastoreItem>
</file>

<file path=customXml/itemProps3.xml><?xml version="1.0" encoding="utf-8"?>
<ds:datastoreItem xmlns:ds="http://schemas.openxmlformats.org/officeDocument/2006/customXml" ds:itemID="{FEA1B3AF-B72C-4ED4-9B98-F10AE5643AEF}">
  <ds:schemaRefs>
    <ds:schemaRef ds:uri="Microsoft.SharePoint.Taxonomy.ContentTypeSync"/>
  </ds:schemaRefs>
</ds:datastoreItem>
</file>

<file path=customXml/itemProps4.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5.xml><?xml version="1.0" encoding="utf-8"?>
<ds:datastoreItem xmlns:ds="http://schemas.openxmlformats.org/officeDocument/2006/customXml" ds:itemID="{201C4190-34DB-455C-91A7-1BFC14027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f8d29-218c-4d37-82ef-55d370ff0a3f"/>
    <ds:schemaRef ds:uri="3e24bc36-2db9-4dd4-83ef-e2c9c598d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19793</CharactersWithSpaces>
  <SharedDoc>false</SharedDoc>
  <HLinks>
    <vt:vector size="12" baseType="variant">
      <vt:variant>
        <vt:i4>1179759</vt:i4>
      </vt:variant>
      <vt:variant>
        <vt:i4>0</vt:i4>
      </vt:variant>
      <vt:variant>
        <vt:i4>0</vt:i4>
      </vt:variant>
      <vt:variant>
        <vt:i4>5</vt:i4>
      </vt:variant>
      <vt:variant>
        <vt:lpwstr>mailto:ASCPolicy@somerset.gov.uk</vt:lpwstr>
      </vt:variant>
      <vt:variant>
        <vt:lpwstr/>
      </vt:variant>
      <vt:variant>
        <vt:i4>786453</vt:i4>
      </vt:variant>
      <vt:variant>
        <vt:i4>0</vt:i4>
      </vt:variant>
      <vt:variant>
        <vt:i4>0</vt:i4>
      </vt:variant>
      <vt:variant>
        <vt:i4>5</vt:i4>
      </vt:variant>
      <vt:variant>
        <vt:lpwstr>https://www.thinklocalactpersonal.org.uk/makingitreal/about/six-themes-of-making-it-real/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Alys McCarthy</cp:lastModifiedBy>
  <cp:revision>2</cp:revision>
  <dcterms:created xsi:type="dcterms:W3CDTF">2024-02-08T11:14:00Z</dcterms:created>
  <dcterms:modified xsi:type="dcterms:W3CDTF">2024-02-08T11:14:00Z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0x0101005DF3D5349599954FA69F6BB46D3E8F81</vt:lpwstr>
  </property>
</Properties>
</file>