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D3A8" w14:textId="77777777" w:rsidR="00E7503B" w:rsidRDefault="00E7503B" w:rsidP="00E7503B">
      <w:pPr>
        <w:pStyle w:val="Title"/>
        <w:jc w:val="right"/>
      </w:pPr>
      <w:r>
        <w:rPr>
          <w:rFonts w:eastAsia="Arial" w:cs="Arial"/>
          <w:noProof/>
          <w:lang w:eastAsia="en-GB"/>
        </w:rPr>
        <w:drawing>
          <wp:anchor distT="0" distB="0" distL="114300" distR="114300" simplePos="0" relativeHeight="251681792" behindDoc="0" locked="0" layoutInCell="1" allowOverlap="1" wp14:anchorId="14BEE20A" wp14:editId="79F24384">
            <wp:simplePos x="0" y="0"/>
            <wp:positionH relativeFrom="column">
              <wp:posOffset>4314825</wp:posOffset>
            </wp:positionH>
            <wp:positionV relativeFrom="paragraph">
              <wp:posOffset>-504825</wp:posOffset>
            </wp:positionV>
            <wp:extent cx="1564438" cy="10287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438" cy="1028700"/>
                    </a:xfrm>
                    <a:prstGeom prst="rect">
                      <a:avLst/>
                    </a:prstGeom>
                    <a:noFill/>
                  </pic:spPr>
                </pic:pic>
              </a:graphicData>
            </a:graphic>
            <wp14:sizeRelH relativeFrom="page">
              <wp14:pctWidth>0</wp14:pctWidth>
            </wp14:sizeRelH>
            <wp14:sizeRelV relativeFrom="page">
              <wp14:pctHeight>0</wp14:pctHeight>
            </wp14:sizeRelV>
          </wp:anchor>
        </w:drawing>
      </w:r>
    </w:p>
    <w:p w14:paraId="7A26A16E" w14:textId="77777777" w:rsidR="00E7503B" w:rsidRPr="00C00886" w:rsidRDefault="00E7503B" w:rsidP="00E7503B"/>
    <w:p w14:paraId="370BEB27" w14:textId="77777777" w:rsidR="00E7503B" w:rsidRPr="0037045B" w:rsidRDefault="00E7503B" w:rsidP="00E7503B">
      <w:pPr>
        <w:pStyle w:val="Title"/>
        <w:spacing w:after="0" w:line="240" w:lineRule="auto"/>
        <w:jc w:val="center"/>
        <w:rPr>
          <w:b/>
          <w:color w:val="auto"/>
          <w:sz w:val="36"/>
          <w:szCs w:val="48"/>
        </w:rPr>
      </w:pPr>
      <w:r w:rsidRPr="0037045B">
        <w:rPr>
          <w:b/>
          <w:color w:val="auto"/>
          <w:sz w:val="36"/>
          <w:szCs w:val="48"/>
        </w:rPr>
        <w:t>Adult Speech and Language Therapy</w:t>
      </w:r>
    </w:p>
    <w:p w14:paraId="5F490A1D" w14:textId="77777777" w:rsidR="00E7503B" w:rsidRDefault="00E7503B" w:rsidP="00E7503B">
      <w:pPr>
        <w:pStyle w:val="Title"/>
        <w:spacing w:after="0" w:line="240" w:lineRule="auto"/>
        <w:rPr>
          <w:rFonts w:cs="Arial"/>
          <w:sz w:val="22"/>
          <w:szCs w:val="22"/>
        </w:rPr>
      </w:pPr>
    </w:p>
    <w:p w14:paraId="1015D74D" w14:textId="77777777" w:rsidR="00E7503B" w:rsidRPr="00811F57" w:rsidRDefault="00E7503B" w:rsidP="00E7503B"/>
    <w:p w14:paraId="30F15381" w14:textId="77777777" w:rsidR="00E7503B" w:rsidRPr="00811F57" w:rsidRDefault="00E7503B" w:rsidP="00E7503B">
      <w:pPr>
        <w:rPr>
          <w:rFonts w:ascii="Arial" w:hAnsi="Arial" w:cs="Arial"/>
          <w:sz w:val="20"/>
          <w:szCs w:val="20"/>
        </w:rPr>
      </w:pPr>
    </w:p>
    <w:p w14:paraId="6C72D0DB" w14:textId="2316ACBA" w:rsidR="00937868" w:rsidRPr="001C4B4E" w:rsidRDefault="00937868" w:rsidP="00937868">
      <w:pPr>
        <w:jc w:val="center"/>
        <w:rPr>
          <w:rFonts w:ascii="Arial" w:eastAsia="Arial" w:hAnsi="Arial" w:cs="Arial"/>
          <w:b/>
          <w:color w:val="000000" w:themeColor="text1"/>
          <w:sz w:val="48"/>
          <w:szCs w:val="48"/>
        </w:rPr>
      </w:pPr>
      <w:r w:rsidRPr="001C4B4E">
        <w:rPr>
          <w:rFonts w:ascii="Arial" w:eastAsia="Arial" w:hAnsi="Arial" w:cs="Arial"/>
          <w:b/>
          <w:color w:val="000000" w:themeColor="text1"/>
          <w:sz w:val="48"/>
          <w:szCs w:val="48"/>
        </w:rPr>
        <w:t>EATING AND DRINKING WITH ACKNOWLEDGED RISK</w:t>
      </w:r>
    </w:p>
    <w:p w14:paraId="491A2077" w14:textId="77777777" w:rsidR="00E7503B" w:rsidRDefault="00E7503B" w:rsidP="00E7503B">
      <w:pPr>
        <w:rPr>
          <w:rFonts w:ascii="Arial" w:eastAsia="Arial" w:hAnsi="Arial" w:cs="Arial"/>
          <w:b/>
          <w:color w:val="005EB8"/>
          <w:sz w:val="24"/>
          <w:szCs w:val="24"/>
        </w:rPr>
      </w:pPr>
    </w:p>
    <w:p w14:paraId="0A5C433C" w14:textId="77777777" w:rsidR="00E7503B" w:rsidRPr="00811F57" w:rsidRDefault="00E7503B" w:rsidP="00E7503B">
      <w:pPr>
        <w:rPr>
          <w:rFonts w:ascii="Arial" w:eastAsia="Arial" w:hAnsi="Arial" w:cs="Arial"/>
          <w:b/>
          <w:color w:val="005EB8"/>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tblGrid>
      <w:tr w:rsidR="00E7503B" w14:paraId="3D7C2E18" w14:textId="77777777" w:rsidTr="00937868">
        <w:trPr>
          <w:trHeight w:val="2232"/>
          <w:jc w:val="center"/>
        </w:trPr>
        <w:tc>
          <w:tcPr>
            <w:tcW w:w="5760" w:type="dxa"/>
            <w:shd w:val="clear" w:color="auto" w:fill="005EB8"/>
          </w:tcPr>
          <w:p w14:paraId="108C0BA6" w14:textId="77777777" w:rsidR="00E7503B" w:rsidRDefault="00E7503B" w:rsidP="00626FFA">
            <w:pPr>
              <w:jc w:val="center"/>
              <w:rPr>
                <w:rFonts w:eastAsia="Arial" w:cs="Arial"/>
                <w:b/>
                <w:color w:val="FFFFFF" w:themeColor="background1"/>
                <w:sz w:val="28"/>
                <w:szCs w:val="28"/>
              </w:rPr>
            </w:pPr>
          </w:p>
          <w:p w14:paraId="21A294C4" w14:textId="60842C2E" w:rsidR="00937868" w:rsidRPr="00937868" w:rsidRDefault="00937868" w:rsidP="00937868">
            <w:pPr>
              <w:spacing w:line="276" w:lineRule="auto"/>
              <w:jc w:val="center"/>
              <w:rPr>
                <w:rFonts w:ascii="Arial" w:eastAsia="Arial" w:hAnsi="Arial" w:cs="Arial"/>
                <w:b/>
                <w:color w:val="FFFFFF" w:themeColor="background1"/>
                <w:sz w:val="32"/>
                <w:szCs w:val="32"/>
              </w:rPr>
            </w:pPr>
            <w:r w:rsidRPr="00937868">
              <w:rPr>
                <w:rFonts w:ascii="Arial" w:eastAsia="Arial" w:hAnsi="Arial" w:cs="Arial"/>
                <w:b/>
                <w:color w:val="FFFFFF" w:themeColor="background1"/>
                <w:sz w:val="32"/>
                <w:szCs w:val="32"/>
              </w:rPr>
              <w:t>Multi Professional Team Guidance for the Shared Decision Making Process in Adults with Oropharyngeal Dysphagia</w:t>
            </w:r>
          </w:p>
          <w:p w14:paraId="227D56EB" w14:textId="77777777" w:rsidR="00E7503B" w:rsidRPr="004337EE" w:rsidRDefault="00E7503B" w:rsidP="00626FFA">
            <w:pPr>
              <w:jc w:val="center"/>
              <w:rPr>
                <w:rFonts w:eastAsia="Arial" w:cs="Arial"/>
                <w:b/>
                <w:color w:val="FFFFFF" w:themeColor="background1"/>
                <w:sz w:val="28"/>
                <w:szCs w:val="28"/>
              </w:rPr>
            </w:pPr>
          </w:p>
        </w:tc>
      </w:tr>
    </w:tbl>
    <w:p w14:paraId="60011573" w14:textId="37B11608" w:rsidR="00E7503B" w:rsidRDefault="00E7503B" w:rsidP="00E7503B">
      <w:pPr>
        <w:spacing w:line="276" w:lineRule="auto"/>
        <w:jc w:val="center"/>
        <w:rPr>
          <w:rFonts w:ascii="Arial" w:eastAsia="Arial" w:hAnsi="Arial" w:cs="Arial"/>
          <w:b/>
          <w:color w:val="005EB8"/>
          <w:sz w:val="24"/>
          <w:szCs w:val="24"/>
        </w:rPr>
      </w:pPr>
    </w:p>
    <w:p w14:paraId="24A0C89A" w14:textId="77777777" w:rsidR="00E7503B" w:rsidRPr="00811F57" w:rsidRDefault="00E7503B" w:rsidP="00E7503B">
      <w:pPr>
        <w:spacing w:line="276" w:lineRule="auto"/>
        <w:jc w:val="center"/>
        <w:rPr>
          <w:rFonts w:ascii="Arial" w:eastAsia="Arial" w:hAnsi="Arial" w:cs="Arial"/>
          <w:b/>
          <w:color w:val="005EB8"/>
          <w:sz w:val="24"/>
          <w:szCs w:val="24"/>
        </w:rPr>
      </w:pPr>
    </w:p>
    <w:tbl>
      <w:tblPr>
        <w:tblStyle w:val="TableGrid1"/>
        <w:tblW w:w="9900" w:type="dxa"/>
        <w:tblInd w:w="-365" w:type="dxa"/>
        <w:tblLook w:val="04A0" w:firstRow="1" w:lastRow="0" w:firstColumn="1" w:lastColumn="0" w:noHBand="0" w:noVBand="1"/>
      </w:tblPr>
      <w:tblGrid>
        <w:gridCol w:w="2249"/>
        <w:gridCol w:w="3687"/>
        <w:gridCol w:w="1624"/>
        <w:gridCol w:w="2340"/>
      </w:tblGrid>
      <w:tr w:rsidR="0079393B" w:rsidRPr="0038409A" w14:paraId="1FC16D5A" w14:textId="77777777" w:rsidTr="0079393B">
        <w:trPr>
          <w:trHeight w:hRule="exact" w:val="432"/>
        </w:trPr>
        <w:tc>
          <w:tcPr>
            <w:tcW w:w="1136" w:type="pct"/>
            <w:shd w:val="clear" w:color="auto" w:fill="005EB8"/>
            <w:vAlign w:val="center"/>
          </w:tcPr>
          <w:p w14:paraId="473C7E08"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 xml:space="preserve">Document </w:t>
            </w:r>
            <w:r>
              <w:rPr>
                <w:rFonts w:ascii="Arial" w:eastAsia="Arial" w:hAnsi="Arial" w:cs="Arial"/>
                <w:b/>
                <w:color w:val="FFFFFF"/>
                <w:sz w:val="24"/>
                <w:szCs w:val="24"/>
              </w:rPr>
              <w:t>Author</w:t>
            </w:r>
          </w:p>
        </w:tc>
        <w:tc>
          <w:tcPr>
            <w:tcW w:w="3864" w:type="pct"/>
            <w:gridSpan w:val="3"/>
            <w:vAlign w:val="center"/>
          </w:tcPr>
          <w:p w14:paraId="76BBDAAF" w14:textId="77777777" w:rsidR="00E7503B" w:rsidRPr="00811F57" w:rsidRDefault="00E7503B" w:rsidP="00626FFA">
            <w:pPr>
              <w:rPr>
                <w:rFonts w:ascii="Arial" w:eastAsia="Arial" w:hAnsi="Arial" w:cs="Arial"/>
                <w:iCs/>
                <w:sz w:val="24"/>
                <w:szCs w:val="24"/>
              </w:rPr>
            </w:pPr>
            <w:r w:rsidRPr="00811F57">
              <w:rPr>
                <w:rFonts w:ascii="Arial" w:eastAsia="Arial" w:hAnsi="Arial" w:cs="Arial"/>
                <w:iCs/>
                <w:sz w:val="24"/>
                <w:szCs w:val="24"/>
              </w:rPr>
              <w:t xml:space="preserve">Karen Dockings, Head of Service, </w:t>
            </w:r>
            <w:proofErr w:type="gramStart"/>
            <w:r w:rsidRPr="00811F57">
              <w:rPr>
                <w:rFonts w:ascii="Arial" w:eastAsia="Arial" w:hAnsi="Arial" w:cs="Arial"/>
                <w:iCs/>
                <w:sz w:val="24"/>
                <w:szCs w:val="24"/>
              </w:rPr>
              <w:t>S</w:t>
            </w:r>
            <w:r>
              <w:rPr>
                <w:rFonts w:ascii="Arial" w:eastAsia="Arial" w:hAnsi="Arial" w:cs="Arial"/>
                <w:iCs/>
                <w:sz w:val="24"/>
                <w:szCs w:val="24"/>
              </w:rPr>
              <w:t>peech</w:t>
            </w:r>
            <w:proofErr w:type="gramEnd"/>
            <w:r>
              <w:rPr>
                <w:rFonts w:ascii="Arial" w:eastAsia="Arial" w:hAnsi="Arial" w:cs="Arial"/>
                <w:iCs/>
                <w:sz w:val="24"/>
                <w:szCs w:val="24"/>
              </w:rPr>
              <w:t xml:space="preserve"> and </w:t>
            </w:r>
            <w:r w:rsidRPr="00811F57">
              <w:rPr>
                <w:rFonts w:ascii="Arial" w:eastAsia="Arial" w:hAnsi="Arial" w:cs="Arial"/>
                <w:iCs/>
                <w:sz w:val="24"/>
                <w:szCs w:val="24"/>
              </w:rPr>
              <w:t>L</w:t>
            </w:r>
            <w:r>
              <w:rPr>
                <w:rFonts w:ascii="Arial" w:eastAsia="Arial" w:hAnsi="Arial" w:cs="Arial"/>
                <w:iCs/>
                <w:sz w:val="24"/>
                <w:szCs w:val="24"/>
              </w:rPr>
              <w:t xml:space="preserve">anguage </w:t>
            </w:r>
            <w:r w:rsidRPr="00811F57">
              <w:rPr>
                <w:rFonts w:ascii="Arial" w:eastAsia="Arial" w:hAnsi="Arial" w:cs="Arial"/>
                <w:iCs/>
                <w:sz w:val="24"/>
                <w:szCs w:val="24"/>
              </w:rPr>
              <w:t>T</w:t>
            </w:r>
            <w:r>
              <w:rPr>
                <w:rFonts w:ascii="Arial" w:eastAsia="Arial" w:hAnsi="Arial" w:cs="Arial"/>
                <w:iCs/>
                <w:sz w:val="24"/>
                <w:szCs w:val="24"/>
              </w:rPr>
              <w:t>herapy</w:t>
            </w:r>
          </w:p>
        </w:tc>
      </w:tr>
      <w:tr w:rsidR="0079393B" w:rsidRPr="0038409A" w14:paraId="6F2C07E9" w14:textId="77777777" w:rsidTr="0079393B">
        <w:trPr>
          <w:trHeight w:val="620"/>
        </w:trPr>
        <w:tc>
          <w:tcPr>
            <w:tcW w:w="1136" w:type="pct"/>
            <w:shd w:val="clear" w:color="auto" w:fill="005EB8"/>
            <w:vAlign w:val="center"/>
          </w:tcPr>
          <w:p w14:paraId="5A8CE03F" w14:textId="77777777" w:rsidR="00E7503B" w:rsidRPr="0038409A" w:rsidRDefault="00E7503B" w:rsidP="00626FFA">
            <w:pPr>
              <w:rPr>
                <w:rFonts w:ascii="Arial" w:eastAsia="Arial" w:hAnsi="Arial" w:cs="Arial"/>
                <w:b/>
                <w:color w:val="FFFFFF"/>
                <w:sz w:val="24"/>
                <w:szCs w:val="24"/>
              </w:rPr>
            </w:pPr>
            <w:r>
              <w:rPr>
                <w:rFonts w:ascii="Arial" w:eastAsia="Arial" w:hAnsi="Arial" w:cs="Arial"/>
                <w:b/>
                <w:color w:val="FFFFFF"/>
                <w:sz w:val="24"/>
                <w:szCs w:val="24"/>
              </w:rPr>
              <w:t>Lead Owner</w:t>
            </w:r>
          </w:p>
        </w:tc>
        <w:tc>
          <w:tcPr>
            <w:tcW w:w="3864" w:type="pct"/>
            <w:gridSpan w:val="3"/>
            <w:vAlign w:val="center"/>
          </w:tcPr>
          <w:p w14:paraId="6983C6D2" w14:textId="77777777" w:rsidR="00E7503B" w:rsidRPr="00811F57" w:rsidRDefault="00E7503B" w:rsidP="00626FFA">
            <w:pPr>
              <w:rPr>
                <w:rFonts w:ascii="Arial" w:eastAsia="Arial" w:hAnsi="Arial" w:cs="Arial"/>
                <w:iCs/>
                <w:sz w:val="24"/>
                <w:szCs w:val="24"/>
              </w:rPr>
            </w:pPr>
            <w:r w:rsidRPr="00811F57">
              <w:rPr>
                <w:rFonts w:ascii="Arial" w:eastAsia="Arial" w:hAnsi="Arial" w:cs="Arial"/>
                <w:iCs/>
                <w:sz w:val="24"/>
                <w:szCs w:val="24"/>
              </w:rPr>
              <w:t xml:space="preserve">Karen Dockings, Head of Service, </w:t>
            </w:r>
            <w:proofErr w:type="gramStart"/>
            <w:r w:rsidRPr="00811F57">
              <w:rPr>
                <w:rFonts w:ascii="Arial" w:eastAsia="Arial" w:hAnsi="Arial" w:cs="Arial"/>
                <w:iCs/>
                <w:sz w:val="24"/>
                <w:szCs w:val="24"/>
              </w:rPr>
              <w:t>S</w:t>
            </w:r>
            <w:r>
              <w:rPr>
                <w:rFonts w:ascii="Arial" w:eastAsia="Arial" w:hAnsi="Arial" w:cs="Arial"/>
                <w:iCs/>
                <w:sz w:val="24"/>
                <w:szCs w:val="24"/>
              </w:rPr>
              <w:t>peech</w:t>
            </w:r>
            <w:proofErr w:type="gramEnd"/>
            <w:r>
              <w:rPr>
                <w:rFonts w:ascii="Arial" w:eastAsia="Arial" w:hAnsi="Arial" w:cs="Arial"/>
                <w:iCs/>
                <w:sz w:val="24"/>
                <w:szCs w:val="24"/>
              </w:rPr>
              <w:t xml:space="preserve"> and </w:t>
            </w:r>
            <w:r w:rsidRPr="00811F57">
              <w:rPr>
                <w:rFonts w:ascii="Arial" w:eastAsia="Arial" w:hAnsi="Arial" w:cs="Arial"/>
                <w:iCs/>
                <w:sz w:val="24"/>
                <w:szCs w:val="24"/>
              </w:rPr>
              <w:t>L</w:t>
            </w:r>
            <w:r>
              <w:rPr>
                <w:rFonts w:ascii="Arial" w:eastAsia="Arial" w:hAnsi="Arial" w:cs="Arial"/>
                <w:iCs/>
                <w:sz w:val="24"/>
                <w:szCs w:val="24"/>
              </w:rPr>
              <w:t xml:space="preserve">anguage </w:t>
            </w:r>
            <w:r w:rsidRPr="00811F57">
              <w:rPr>
                <w:rFonts w:ascii="Arial" w:eastAsia="Arial" w:hAnsi="Arial" w:cs="Arial"/>
                <w:iCs/>
                <w:sz w:val="24"/>
                <w:szCs w:val="24"/>
              </w:rPr>
              <w:t>T</w:t>
            </w:r>
            <w:r>
              <w:rPr>
                <w:rFonts w:ascii="Arial" w:eastAsia="Arial" w:hAnsi="Arial" w:cs="Arial"/>
                <w:iCs/>
                <w:sz w:val="24"/>
                <w:szCs w:val="24"/>
              </w:rPr>
              <w:t>herapy /</w:t>
            </w:r>
          </w:p>
          <w:p w14:paraId="7F6F62BE" w14:textId="42337599" w:rsidR="00E7503B" w:rsidRPr="00937868" w:rsidRDefault="00937868" w:rsidP="00626FFA">
            <w:pPr>
              <w:rPr>
                <w:rFonts w:ascii="Arial" w:eastAsia="Arial" w:hAnsi="Arial" w:cs="Arial"/>
                <w:sz w:val="24"/>
                <w:szCs w:val="24"/>
              </w:rPr>
            </w:pPr>
            <w:r w:rsidRPr="00937868">
              <w:rPr>
                <w:rFonts w:ascii="Arial" w:eastAsia="Arial" w:hAnsi="Arial" w:cs="Arial"/>
                <w:sz w:val="24"/>
                <w:szCs w:val="24"/>
              </w:rPr>
              <w:t>Andy Campbell Deputy Head of Adult Speech and Language Therapy</w:t>
            </w:r>
          </w:p>
        </w:tc>
      </w:tr>
      <w:tr w:rsidR="00937868" w:rsidRPr="0038409A" w14:paraId="41AF3308" w14:textId="77777777" w:rsidTr="0079393B">
        <w:trPr>
          <w:trHeight w:hRule="exact" w:val="432"/>
        </w:trPr>
        <w:tc>
          <w:tcPr>
            <w:tcW w:w="1136" w:type="pct"/>
            <w:shd w:val="clear" w:color="auto" w:fill="005EB8"/>
            <w:vAlign w:val="center"/>
          </w:tcPr>
          <w:p w14:paraId="07385D46" w14:textId="77777777" w:rsidR="00E7503B" w:rsidRPr="0038409A" w:rsidRDefault="00E7503B" w:rsidP="00626FFA">
            <w:pPr>
              <w:rPr>
                <w:rFonts w:ascii="Arial" w:eastAsia="Arial" w:hAnsi="Arial" w:cs="Arial"/>
                <w:b/>
                <w:color w:val="FFFFFF"/>
                <w:sz w:val="24"/>
                <w:szCs w:val="24"/>
              </w:rPr>
            </w:pPr>
            <w:r>
              <w:rPr>
                <w:rFonts w:ascii="Arial" w:eastAsia="Arial" w:hAnsi="Arial" w:cs="Arial"/>
                <w:b/>
                <w:color w:val="FFFFFF"/>
                <w:sz w:val="24"/>
                <w:szCs w:val="24"/>
              </w:rPr>
              <w:t xml:space="preserve">This </w:t>
            </w:r>
            <w:r w:rsidRPr="0038409A">
              <w:rPr>
                <w:rFonts w:ascii="Arial" w:eastAsia="Arial" w:hAnsi="Arial" w:cs="Arial"/>
                <w:b/>
                <w:color w:val="FFFFFF"/>
                <w:sz w:val="24"/>
                <w:szCs w:val="24"/>
              </w:rPr>
              <w:t xml:space="preserve">Version </w:t>
            </w:r>
          </w:p>
        </w:tc>
        <w:tc>
          <w:tcPr>
            <w:tcW w:w="1862" w:type="pct"/>
            <w:vAlign w:val="center"/>
          </w:tcPr>
          <w:p w14:paraId="185F0200" w14:textId="77777777" w:rsidR="00E7503B" w:rsidRPr="0038409A" w:rsidRDefault="00E7503B" w:rsidP="00626FFA">
            <w:pPr>
              <w:rPr>
                <w:rFonts w:ascii="Arial" w:eastAsia="Arial" w:hAnsi="Arial" w:cs="Arial"/>
                <w:sz w:val="24"/>
                <w:szCs w:val="24"/>
              </w:rPr>
            </w:pPr>
            <w:r>
              <w:rPr>
                <w:rFonts w:ascii="Arial" w:eastAsia="Arial" w:hAnsi="Arial" w:cs="Arial"/>
                <w:sz w:val="24"/>
                <w:szCs w:val="24"/>
              </w:rPr>
              <w:t>1.0</w:t>
            </w:r>
          </w:p>
        </w:tc>
        <w:tc>
          <w:tcPr>
            <w:tcW w:w="820" w:type="pct"/>
            <w:vMerge w:val="restart"/>
            <w:shd w:val="clear" w:color="auto" w:fill="005EB8"/>
            <w:vAlign w:val="center"/>
          </w:tcPr>
          <w:p w14:paraId="0FDC7CFD"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Status</w:t>
            </w:r>
          </w:p>
        </w:tc>
        <w:tc>
          <w:tcPr>
            <w:tcW w:w="1182" w:type="pct"/>
            <w:vMerge w:val="restart"/>
            <w:vAlign w:val="center"/>
          </w:tcPr>
          <w:p w14:paraId="18B3B839" w14:textId="77777777" w:rsidR="00E7503B" w:rsidRPr="006D2B59" w:rsidRDefault="00E7503B" w:rsidP="00626FFA">
            <w:pPr>
              <w:rPr>
                <w:rFonts w:ascii="Arial" w:eastAsia="Arial" w:hAnsi="Arial" w:cs="Arial"/>
                <w:iCs/>
                <w:sz w:val="24"/>
                <w:szCs w:val="24"/>
              </w:rPr>
            </w:pPr>
            <w:r w:rsidRPr="006D2B59">
              <w:rPr>
                <w:rFonts w:ascii="Arial" w:eastAsia="Arial" w:hAnsi="Arial" w:cs="Arial"/>
                <w:iCs/>
                <w:sz w:val="24"/>
                <w:szCs w:val="24"/>
              </w:rPr>
              <w:t>Draft</w:t>
            </w:r>
          </w:p>
        </w:tc>
      </w:tr>
      <w:tr w:rsidR="00937868" w:rsidRPr="0038409A" w14:paraId="020A5527" w14:textId="77777777" w:rsidTr="0079393B">
        <w:trPr>
          <w:trHeight w:hRule="exact" w:val="432"/>
        </w:trPr>
        <w:tc>
          <w:tcPr>
            <w:tcW w:w="1136" w:type="pct"/>
            <w:shd w:val="clear" w:color="auto" w:fill="005EB8"/>
            <w:vAlign w:val="center"/>
          </w:tcPr>
          <w:p w14:paraId="794588F4" w14:textId="77777777" w:rsidR="00E7503B" w:rsidRPr="0038409A" w:rsidRDefault="00E7503B" w:rsidP="00626FFA">
            <w:pPr>
              <w:rPr>
                <w:rFonts w:ascii="Arial" w:eastAsia="Arial" w:hAnsi="Arial" w:cs="Arial"/>
                <w:b/>
                <w:color w:val="FFFFFF"/>
                <w:sz w:val="24"/>
                <w:szCs w:val="24"/>
              </w:rPr>
            </w:pPr>
            <w:r>
              <w:rPr>
                <w:rFonts w:ascii="Arial" w:eastAsia="Arial" w:hAnsi="Arial" w:cs="Arial"/>
                <w:b/>
                <w:color w:val="FFFFFF"/>
                <w:sz w:val="24"/>
                <w:szCs w:val="24"/>
              </w:rPr>
              <w:t>Replaces</w:t>
            </w:r>
          </w:p>
        </w:tc>
        <w:tc>
          <w:tcPr>
            <w:tcW w:w="1862" w:type="pct"/>
            <w:vAlign w:val="center"/>
          </w:tcPr>
          <w:p w14:paraId="7BA3EAAE" w14:textId="681FF6ED" w:rsidR="00E7503B" w:rsidRPr="0038409A" w:rsidRDefault="00937868" w:rsidP="00626FFA">
            <w:pPr>
              <w:rPr>
                <w:rFonts w:ascii="Arial" w:eastAsia="Arial" w:hAnsi="Arial" w:cs="Arial"/>
                <w:sz w:val="24"/>
                <w:szCs w:val="24"/>
              </w:rPr>
            </w:pPr>
            <w:r>
              <w:rPr>
                <w:rFonts w:ascii="Arial" w:eastAsia="Arial" w:hAnsi="Arial" w:cs="Arial"/>
                <w:sz w:val="24"/>
                <w:szCs w:val="24"/>
              </w:rPr>
              <w:t>New Document</w:t>
            </w:r>
          </w:p>
        </w:tc>
        <w:tc>
          <w:tcPr>
            <w:tcW w:w="820" w:type="pct"/>
            <w:vMerge/>
            <w:shd w:val="clear" w:color="auto" w:fill="005EB8"/>
            <w:vAlign w:val="center"/>
          </w:tcPr>
          <w:p w14:paraId="5A6F00BB" w14:textId="77777777" w:rsidR="00E7503B" w:rsidRPr="0038409A" w:rsidRDefault="00E7503B" w:rsidP="00626FFA">
            <w:pPr>
              <w:rPr>
                <w:rFonts w:ascii="Arial" w:eastAsia="Arial" w:hAnsi="Arial" w:cs="Arial"/>
                <w:b/>
                <w:color w:val="FFFFFF"/>
                <w:sz w:val="24"/>
                <w:szCs w:val="24"/>
              </w:rPr>
            </w:pPr>
          </w:p>
        </w:tc>
        <w:tc>
          <w:tcPr>
            <w:tcW w:w="1182" w:type="pct"/>
            <w:vMerge/>
            <w:vAlign w:val="center"/>
          </w:tcPr>
          <w:p w14:paraId="6F7BF8F2" w14:textId="77777777" w:rsidR="00E7503B" w:rsidRPr="0038409A" w:rsidRDefault="00E7503B" w:rsidP="00626FFA">
            <w:pPr>
              <w:rPr>
                <w:rFonts w:ascii="Arial" w:eastAsia="Arial" w:hAnsi="Arial" w:cs="Arial"/>
                <w:i/>
                <w:sz w:val="24"/>
                <w:szCs w:val="24"/>
              </w:rPr>
            </w:pPr>
          </w:p>
        </w:tc>
      </w:tr>
      <w:tr w:rsidR="00937868" w:rsidRPr="0038409A" w14:paraId="1589A1BA" w14:textId="77777777" w:rsidTr="0079393B">
        <w:trPr>
          <w:trHeight w:hRule="exact" w:val="432"/>
        </w:trPr>
        <w:tc>
          <w:tcPr>
            <w:tcW w:w="1136" w:type="pct"/>
            <w:shd w:val="clear" w:color="auto" w:fill="005EB8"/>
            <w:vAlign w:val="center"/>
          </w:tcPr>
          <w:p w14:paraId="617168BF"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Approval</w:t>
            </w:r>
            <w:r>
              <w:rPr>
                <w:rFonts w:ascii="Arial" w:eastAsia="Arial" w:hAnsi="Arial" w:cs="Arial"/>
                <w:b/>
                <w:color w:val="FFFFFF"/>
                <w:sz w:val="24"/>
                <w:szCs w:val="24"/>
              </w:rPr>
              <w:t xml:space="preserve"> Date</w:t>
            </w:r>
          </w:p>
        </w:tc>
        <w:tc>
          <w:tcPr>
            <w:tcW w:w="1862" w:type="pct"/>
            <w:vAlign w:val="center"/>
          </w:tcPr>
          <w:p w14:paraId="56CC4E57" w14:textId="77777777" w:rsidR="00E7503B" w:rsidRPr="0038409A" w:rsidRDefault="00E7503B" w:rsidP="00626FFA">
            <w:pPr>
              <w:rPr>
                <w:rFonts w:ascii="Arial" w:eastAsia="Arial" w:hAnsi="Arial" w:cs="Arial"/>
                <w:sz w:val="24"/>
                <w:szCs w:val="24"/>
              </w:rPr>
            </w:pPr>
          </w:p>
        </w:tc>
        <w:tc>
          <w:tcPr>
            <w:tcW w:w="820" w:type="pct"/>
            <w:shd w:val="clear" w:color="auto" w:fill="005EB8"/>
            <w:vAlign w:val="center"/>
          </w:tcPr>
          <w:p w14:paraId="76E6401C" w14:textId="77777777" w:rsidR="00E7503B" w:rsidRPr="0038409A" w:rsidRDefault="00E7503B" w:rsidP="00626FFA">
            <w:pPr>
              <w:ind w:right="-108"/>
              <w:rPr>
                <w:rFonts w:ascii="Arial" w:eastAsia="Arial" w:hAnsi="Arial" w:cs="Arial"/>
                <w:b/>
                <w:color w:val="FFFFFF"/>
                <w:sz w:val="24"/>
                <w:szCs w:val="24"/>
              </w:rPr>
            </w:pPr>
            <w:r>
              <w:rPr>
                <w:rFonts w:ascii="Arial" w:eastAsia="Arial" w:hAnsi="Arial" w:cs="Arial"/>
                <w:b/>
                <w:color w:val="FFFFFF"/>
                <w:sz w:val="24"/>
                <w:szCs w:val="24"/>
              </w:rPr>
              <w:t>Where</w:t>
            </w:r>
          </w:p>
        </w:tc>
        <w:tc>
          <w:tcPr>
            <w:tcW w:w="1182" w:type="pct"/>
            <w:vAlign w:val="center"/>
          </w:tcPr>
          <w:p w14:paraId="7A367093" w14:textId="4139857D" w:rsidR="00E7503B" w:rsidRPr="0038409A" w:rsidRDefault="00937868" w:rsidP="00626FFA">
            <w:pPr>
              <w:rPr>
                <w:rFonts w:ascii="Arial" w:eastAsia="Arial" w:hAnsi="Arial" w:cs="Arial"/>
                <w:sz w:val="24"/>
                <w:szCs w:val="24"/>
              </w:rPr>
            </w:pPr>
            <w:r>
              <w:rPr>
                <w:rFonts w:ascii="Arial" w:eastAsia="Arial" w:hAnsi="Arial" w:cs="Arial"/>
                <w:sz w:val="24"/>
                <w:szCs w:val="24"/>
              </w:rPr>
              <w:t>Ethics</w:t>
            </w:r>
          </w:p>
        </w:tc>
      </w:tr>
      <w:tr w:rsidR="00937868" w:rsidRPr="0038409A" w14:paraId="09074A31" w14:textId="77777777" w:rsidTr="0079393B">
        <w:trPr>
          <w:trHeight w:hRule="exact" w:val="892"/>
        </w:trPr>
        <w:tc>
          <w:tcPr>
            <w:tcW w:w="1136" w:type="pct"/>
            <w:shd w:val="clear" w:color="auto" w:fill="005EB8"/>
            <w:vAlign w:val="center"/>
          </w:tcPr>
          <w:p w14:paraId="5C0E2CD1"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Ratification</w:t>
            </w:r>
            <w:r>
              <w:rPr>
                <w:rFonts w:ascii="Arial" w:eastAsia="Arial" w:hAnsi="Arial" w:cs="Arial"/>
                <w:b/>
                <w:color w:val="FFFFFF"/>
                <w:sz w:val="24"/>
                <w:szCs w:val="24"/>
              </w:rPr>
              <w:t xml:space="preserve"> Date</w:t>
            </w:r>
          </w:p>
        </w:tc>
        <w:tc>
          <w:tcPr>
            <w:tcW w:w="1862" w:type="pct"/>
            <w:vAlign w:val="center"/>
          </w:tcPr>
          <w:p w14:paraId="26DA3C5F" w14:textId="77777777" w:rsidR="00E7503B" w:rsidRPr="0038409A" w:rsidRDefault="00E7503B" w:rsidP="00626FFA">
            <w:pPr>
              <w:rPr>
                <w:rFonts w:ascii="Arial" w:eastAsia="Arial" w:hAnsi="Arial" w:cs="Arial"/>
                <w:sz w:val="24"/>
                <w:szCs w:val="24"/>
              </w:rPr>
            </w:pPr>
          </w:p>
        </w:tc>
        <w:tc>
          <w:tcPr>
            <w:tcW w:w="820" w:type="pct"/>
            <w:shd w:val="clear" w:color="auto" w:fill="005EB8"/>
            <w:vAlign w:val="center"/>
          </w:tcPr>
          <w:p w14:paraId="1D4AD850" w14:textId="77777777" w:rsidR="00E7503B" w:rsidRPr="0038409A" w:rsidRDefault="00E7503B" w:rsidP="00626FFA">
            <w:pPr>
              <w:ind w:right="-108"/>
              <w:rPr>
                <w:rFonts w:ascii="Arial" w:eastAsia="Arial" w:hAnsi="Arial" w:cs="Arial"/>
                <w:b/>
                <w:color w:val="FFFFFF"/>
                <w:sz w:val="24"/>
                <w:szCs w:val="24"/>
              </w:rPr>
            </w:pPr>
            <w:r>
              <w:rPr>
                <w:rFonts w:ascii="Arial" w:eastAsia="Arial" w:hAnsi="Arial" w:cs="Arial"/>
                <w:b/>
                <w:color w:val="FFFFFF"/>
                <w:sz w:val="24"/>
                <w:szCs w:val="24"/>
              </w:rPr>
              <w:t>Where</w:t>
            </w:r>
          </w:p>
        </w:tc>
        <w:tc>
          <w:tcPr>
            <w:tcW w:w="1182" w:type="pct"/>
            <w:vAlign w:val="center"/>
          </w:tcPr>
          <w:p w14:paraId="5B5939B2" w14:textId="49BB52A7" w:rsidR="00E7503B" w:rsidRPr="0038409A" w:rsidRDefault="00937868" w:rsidP="00626FFA">
            <w:pPr>
              <w:rPr>
                <w:rFonts w:ascii="Arial" w:eastAsia="Arial" w:hAnsi="Arial" w:cs="Arial"/>
                <w:sz w:val="24"/>
                <w:szCs w:val="24"/>
              </w:rPr>
            </w:pPr>
            <w:r>
              <w:rPr>
                <w:rFonts w:ascii="Arial" w:eastAsia="Arial" w:hAnsi="Arial" w:cs="Arial"/>
                <w:sz w:val="24"/>
                <w:szCs w:val="24"/>
              </w:rPr>
              <w:t>Nutrition and Hydration Steering Group</w:t>
            </w:r>
          </w:p>
        </w:tc>
      </w:tr>
      <w:tr w:rsidR="00937868" w:rsidRPr="0038409A" w14:paraId="18006AFC" w14:textId="77777777" w:rsidTr="0079393B">
        <w:trPr>
          <w:trHeight w:hRule="exact" w:val="432"/>
        </w:trPr>
        <w:tc>
          <w:tcPr>
            <w:tcW w:w="1136" w:type="pct"/>
            <w:shd w:val="clear" w:color="auto" w:fill="005EB8"/>
            <w:vAlign w:val="center"/>
          </w:tcPr>
          <w:p w14:paraId="77B5FC2F"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Date Of Issue</w:t>
            </w:r>
          </w:p>
        </w:tc>
        <w:tc>
          <w:tcPr>
            <w:tcW w:w="1862" w:type="pct"/>
            <w:vAlign w:val="center"/>
          </w:tcPr>
          <w:p w14:paraId="1B9894BB" w14:textId="499FD021" w:rsidR="00E7503B" w:rsidRPr="00811F57" w:rsidRDefault="00E7503B" w:rsidP="00626FFA">
            <w:pPr>
              <w:rPr>
                <w:rFonts w:ascii="Arial" w:eastAsia="Arial" w:hAnsi="Arial" w:cs="Arial"/>
                <w:sz w:val="24"/>
                <w:szCs w:val="24"/>
              </w:rPr>
            </w:pPr>
          </w:p>
        </w:tc>
        <w:tc>
          <w:tcPr>
            <w:tcW w:w="820" w:type="pct"/>
            <w:shd w:val="clear" w:color="auto" w:fill="005EB8"/>
            <w:vAlign w:val="center"/>
          </w:tcPr>
          <w:p w14:paraId="478E94F0" w14:textId="77777777" w:rsidR="00E7503B" w:rsidRPr="0038409A" w:rsidRDefault="00E7503B" w:rsidP="00626FFA">
            <w:pPr>
              <w:ind w:right="-108"/>
              <w:rPr>
                <w:rFonts w:ascii="Arial" w:eastAsia="Arial" w:hAnsi="Arial" w:cs="Arial"/>
                <w:b/>
                <w:color w:val="FFFFFF"/>
                <w:sz w:val="24"/>
                <w:szCs w:val="24"/>
              </w:rPr>
            </w:pPr>
            <w:r w:rsidRPr="0038409A">
              <w:rPr>
                <w:rFonts w:ascii="Arial" w:eastAsia="Arial" w:hAnsi="Arial" w:cs="Arial"/>
                <w:b/>
                <w:color w:val="FFFFFF"/>
                <w:sz w:val="24"/>
                <w:szCs w:val="24"/>
              </w:rPr>
              <w:t xml:space="preserve">Review </w:t>
            </w:r>
            <w:r>
              <w:rPr>
                <w:rFonts w:ascii="Arial" w:eastAsia="Arial" w:hAnsi="Arial" w:cs="Arial"/>
                <w:b/>
                <w:color w:val="FFFFFF"/>
                <w:sz w:val="24"/>
                <w:szCs w:val="24"/>
              </w:rPr>
              <w:t>D</w:t>
            </w:r>
            <w:r w:rsidRPr="0038409A">
              <w:rPr>
                <w:rFonts w:ascii="Arial" w:eastAsia="Arial" w:hAnsi="Arial" w:cs="Arial"/>
                <w:b/>
                <w:color w:val="FFFFFF"/>
                <w:sz w:val="24"/>
                <w:szCs w:val="24"/>
              </w:rPr>
              <w:t>ate</w:t>
            </w:r>
          </w:p>
        </w:tc>
        <w:tc>
          <w:tcPr>
            <w:tcW w:w="1182" w:type="pct"/>
            <w:vAlign w:val="center"/>
          </w:tcPr>
          <w:p w14:paraId="43F48E35" w14:textId="13005FA7" w:rsidR="00E7503B" w:rsidRPr="0038409A" w:rsidRDefault="00E7503B" w:rsidP="00626FFA">
            <w:pPr>
              <w:rPr>
                <w:rFonts w:ascii="Arial" w:eastAsia="Arial" w:hAnsi="Arial" w:cs="Arial"/>
                <w:sz w:val="24"/>
                <w:szCs w:val="24"/>
              </w:rPr>
            </w:pPr>
          </w:p>
        </w:tc>
      </w:tr>
      <w:tr w:rsidR="00937868" w:rsidRPr="0038409A" w14:paraId="5AEDF7D9" w14:textId="77777777" w:rsidTr="0079393B">
        <w:trPr>
          <w:trHeight w:val="2672"/>
        </w:trPr>
        <w:tc>
          <w:tcPr>
            <w:tcW w:w="1136" w:type="pct"/>
            <w:shd w:val="clear" w:color="auto" w:fill="005EB8"/>
            <w:vAlign w:val="center"/>
          </w:tcPr>
          <w:p w14:paraId="63151651"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 xml:space="preserve">Applies </w:t>
            </w:r>
            <w:r>
              <w:rPr>
                <w:rFonts w:ascii="Arial" w:eastAsia="Arial" w:hAnsi="Arial" w:cs="Arial"/>
                <w:b/>
                <w:color w:val="FFFFFF"/>
                <w:sz w:val="24"/>
                <w:szCs w:val="24"/>
              </w:rPr>
              <w:t>T</w:t>
            </w:r>
            <w:r w:rsidRPr="0038409A">
              <w:rPr>
                <w:rFonts w:ascii="Arial" w:eastAsia="Arial" w:hAnsi="Arial" w:cs="Arial"/>
                <w:b/>
                <w:color w:val="FFFFFF"/>
                <w:sz w:val="24"/>
                <w:szCs w:val="24"/>
              </w:rPr>
              <w:t>o</w:t>
            </w:r>
          </w:p>
        </w:tc>
        <w:tc>
          <w:tcPr>
            <w:tcW w:w="1862" w:type="pct"/>
            <w:vAlign w:val="center"/>
          </w:tcPr>
          <w:p w14:paraId="11D88FCA" w14:textId="10623F18" w:rsidR="00937868" w:rsidRPr="00937868" w:rsidRDefault="00937868" w:rsidP="00937868">
            <w:pPr>
              <w:rPr>
                <w:rFonts w:ascii="Arial" w:eastAsia="Arial" w:hAnsi="Arial" w:cs="Arial"/>
                <w:sz w:val="24"/>
                <w:szCs w:val="24"/>
              </w:rPr>
            </w:pPr>
            <w:r w:rsidRPr="00937868">
              <w:rPr>
                <w:rFonts w:ascii="Arial" w:eastAsia="Arial" w:hAnsi="Arial" w:cs="Arial"/>
                <w:sz w:val="24"/>
                <w:szCs w:val="24"/>
              </w:rPr>
              <w:t>Adults with diagnosed oropharyngeal dysphagia being treated by health professionals working in Somerset Foundation Trust</w:t>
            </w:r>
          </w:p>
          <w:p w14:paraId="3B061A49" w14:textId="3C10FDB1" w:rsidR="00E7503B" w:rsidRPr="0038409A" w:rsidRDefault="00E7503B" w:rsidP="00626FFA">
            <w:pPr>
              <w:rPr>
                <w:rFonts w:ascii="Arial" w:eastAsia="Arial" w:hAnsi="Arial" w:cs="Arial"/>
                <w:sz w:val="24"/>
                <w:szCs w:val="24"/>
              </w:rPr>
            </w:pPr>
          </w:p>
        </w:tc>
        <w:tc>
          <w:tcPr>
            <w:tcW w:w="820" w:type="pct"/>
            <w:shd w:val="clear" w:color="auto" w:fill="005EB8"/>
            <w:vAlign w:val="center"/>
          </w:tcPr>
          <w:p w14:paraId="742B3BD5" w14:textId="77777777" w:rsidR="00E7503B" w:rsidRPr="0038409A" w:rsidRDefault="00E7503B" w:rsidP="00626FFA">
            <w:pPr>
              <w:rPr>
                <w:rFonts w:ascii="Arial" w:eastAsia="Arial" w:hAnsi="Arial" w:cs="Arial"/>
                <w:b/>
                <w:color w:val="FFFFFF"/>
                <w:sz w:val="24"/>
                <w:szCs w:val="24"/>
              </w:rPr>
            </w:pPr>
            <w:r w:rsidRPr="0038409A">
              <w:rPr>
                <w:rFonts w:ascii="Arial" w:eastAsia="Arial" w:hAnsi="Arial" w:cs="Arial"/>
                <w:b/>
                <w:color w:val="FFFFFF"/>
                <w:sz w:val="24"/>
                <w:szCs w:val="24"/>
              </w:rPr>
              <w:t>Exclusions</w:t>
            </w:r>
          </w:p>
        </w:tc>
        <w:tc>
          <w:tcPr>
            <w:tcW w:w="1182" w:type="pct"/>
            <w:vAlign w:val="center"/>
          </w:tcPr>
          <w:p w14:paraId="0F5EA35C" w14:textId="44DCA115" w:rsidR="00937868" w:rsidRDefault="00937868" w:rsidP="00937868">
            <w:pPr>
              <w:rPr>
                <w:rFonts w:ascii="Arial" w:eastAsia="Arial" w:hAnsi="Arial" w:cs="Arial"/>
                <w:sz w:val="24"/>
                <w:szCs w:val="24"/>
              </w:rPr>
            </w:pPr>
            <w:r w:rsidRPr="00937868">
              <w:rPr>
                <w:rFonts w:ascii="Arial" w:eastAsia="Arial" w:hAnsi="Arial" w:cs="Arial"/>
                <w:sz w:val="24"/>
                <w:szCs w:val="24"/>
              </w:rPr>
              <w:t>Adults with eating and drinking difficulties associated with oesophageal impairments</w:t>
            </w:r>
          </w:p>
          <w:p w14:paraId="5F1C7A98" w14:textId="77777777" w:rsidR="00937868" w:rsidRPr="00937868" w:rsidRDefault="00937868" w:rsidP="00937868">
            <w:pPr>
              <w:rPr>
                <w:rFonts w:ascii="Arial" w:eastAsia="Arial" w:hAnsi="Arial" w:cs="Arial"/>
                <w:sz w:val="24"/>
                <w:szCs w:val="24"/>
              </w:rPr>
            </w:pPr>
          </w:p>
          <w:p w14:paraId="480DF7F3" w14:textId="6297FC7F" w:rsidR="00E7503B" w:rsidRPr="0038409A" w:rsidRDefault="00937868" w:rsidP="00937868">
            <w:pPr>
              <w:rPr>
                <w:rFonts w:ascii="Arial" w:eastAsia="Arial" w:hAnsi="Arial" w:cs="Arial"/>
                <w:sz w:val="24"/>
                <w:szCs w:val="24"/>
              </w:rPr>
            </w:pPr>
            <w:r w:rsidRPr="00937868">
              <w:rPr>
                <w:rFonts w:ascii="Arial" w:eastAsia="Arial" w:hAnsi="Arial" w:cs="Arial"/>
                <w:sz w:val="24"/>
                <w:szCs w:val="24"/>
              </w:rPr>
              <w:t>Children under the age of 18</w:t>
            </w:r>
          </w:p>
        </w:tc>
      </w:tr>
    </w:tbl>
    <w:p w14:paraId="0393F736" w14:textId="77777777" w:rsidR="004C5E06" w:rsidRPr="00923BEA" w:rsidRDefault="00E7503B" w:rsidP="00954CC9">
      <w:pPr>
        <w:spacing w:after="200" w:line="276" w:lineRule="auto"/>
        <w:rPr>
          <w:rFonts w:ascii="Arial" w:eastAsia="Arial" w:hAnsi="Arial" w:cs="Arial"/>
          <w:color w:val="0070C0"/>
          <w:sz w:val="24"/>
          <w:szCs w:val="24"/>
        </w:rPr>
      </w:pPr>
      <w:r>
        <w:rPr>
          <w:rFonts w:ascii="Arial" w:eastAsia="Arial" w:hAnsi="Arial" w:cs="Arial"/>
          <w:b/>
          <w:i/>
          <w:sz w:val="20"/>
          <w:szCs w:val="20"/>
        </w:rPr>
        <w:br w:type="page"/>
      </w:r>
      <w:bookmarkStart w:id="0" w:name="_Toc518316082"/>
      <w:r w:rsidR="004C5E06" w:rsidRPr="00923BEA">
        <w:rPr>
          <w:rFonts w:ascii="Arial" w:eastAsia="Arial" w:hAnsi="Arial" w:cs="Arial"/>
          <w:b/>
          <w:color w:val="0070C0"/>
          <w:sz w:val="24"/>
          <w:szCs w:val="24"/>
        </w:rPr>
        <w:lastRenderedPageBreak/>
        <w:t>CONTENTS</w:t>
      </w:r>
    </w:p>
    <w:p w14:paraId="5E7F81AC" w14:textId="77777777" w:rsidR="004C5E06" w:rsidRPr="00A87AD8" w:rsidRDefault="004C5E06" w:rsidP="004C5E06">
      <w:pPr>
        <w:spacing w:after="120" w:line="276" w:lineRule="auto"/>
        <w:rPr>
          <w:rFonts w:ascii="Arial" w:eastAsia="Arial" w:hAnsi="Arial" w:cs="Arial"/>
          <w:sz w:val="24"/>
          <w:szCs w:val="24"/>
        </w:rPr>
      </w:pPr>
      <w:r w:rsidRPr="00A87AD8">
        <w:rPr>
          <w:rFonts w:ascii="Arial" w:eastAsia="Arial" w:hAnsi="Arial" w:cs="Arial"/>
          <w:sz w:val="24"/>
          <w:szCs w:val="24"/>
        </w:rPr>
        <w:tab/>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6"/>
        <w:gridCol w:w="7857"/>
        <w:gridCol w:w="483"/>
      </w:tblGrid>
      <w:tr w:rsidR="004C5E06" w:rsidRPr="00A87AD8" w14:paraId="1D52CD86" w14:textId="77777777" w:rsidTr="00626FFA">
        <w:trPr>
          <w:jc w:val="center"/>
        </w:trPr>
        <w:tc>
          <w:tcPr>
            <w:tcW w:w="684" w:type="dxa"/>
            <w:vAlign w:val="center"/>
          </w:tcPr>
          <w:p w14:paraId="5C9E8005"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1.0</w:t>
            </w:r>
          </w:p>
        </w:tc>
        <w:tc>
          <w:tcPr>
            <w:tcW w:w="8221" w:type="dxa"/>
            <w:vAlign w:val="center"/>
          </w:tcPr>
          <w:p w14:paraId="47A2262B"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FLOW DIAGRAM</w:t>
            </w:r>
          </w:p>
        </w:tc>
        <w:tc>
          <w:tcPr>
            <w:tcW w:w="425" w:type="dxa"/>
            <w:vAlign w:val="center"/>
          </w:tcPr>
          <w:p w14:paraId="329F1E1B"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3</w:t>
            </w:r>
          </w:p>
        </w:tc>
      </w:tr>
      <w:tr w:rsidR="004C5E06" w:rsidRPr="00A87AD8" w14:paraId="5E516385" w14:textId="77777777" w:rsidTr="00626FFA">
        <w:trPr>
          <w:jc w:val="center"/>
        </w:trPr>
        <w:tc>
          <w:tcPr>
            <w:tcW w:w="684" w:type="dxa"/>
            <w:vAlign w:val="center"/>
          </w:tcPr>
          <w:p w14:paraId="0CA34DBF"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2.0</w:t>
            </w:r>
          </w:p>
        </w:tc>
        <w:tc>
          <w:tcPr>
            <w:tcW w:w="8221" w:type="dxa"/>
            <w:vAlign w:val="center"/>
          </w:tcPr>
          <w:p w14:paraId="6FEA5779"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INTRODUCTION</w:t>
            </w:r>
          </w:p>
        </w:tc>
        <w:tc>
          <w:tcPr>
            <w:tcW w:w="425" w:type="dxa"/>
            <w:vAlign w:val="center"/>
          </w:tcPr>
          <w:p w14:paraId="0C2ABAEA"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4</w:t>
            </w:r>
          </w:p>
        </w:tc>
      </w:tr>
      <w:tr w:rsidR="004C5E06" w:rsidRPr="00A87AD8" w14:paraId="095D1003" w14:textId="77777777" w:rsidTr="00626FFA">
        <w:trPr>
          <w:jc w:val="center"/>
        </w:trPr>
        <w:tc>
          <w:tcPr>
            <w:tcW w:w="684" w:type="dxa"/>
            <w:vAlign w:val="center"/>
          </w:tcPr>
          <w:p w14:paraId="7363CE37"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3.0</w:t>
            </w:r>
          </w:p>
        </w:tc>
        <w:tc>
          <w:tcPr>
            <w:tcW w:w="8221" w:type="dxa"/>
            <w:vAlign w:val="center"/>
          </w:tcPr>
          <w:p w14:paraId="56EAF935"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DEFINITIONS</w:t>
            </w:r>
          </w:p>
        </w:tc>
        <w:tc>
          <w:tcPr>
            <w:tcW w:w="425" w:type="dxa"/>
            <w:vAlign w:val="center"/>
          </w:tcPr>
          <w:p w14:paraId="0F674F62"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5</w:t>
            </w:r>
          </w:p>
        </w:tc>
      </w:tr>
      <w:tr w:rsidR="004C5E06" w:rsidRPr="00A87AD8" w14:paraId="4CD13C23" w14:textId="77777777" w:rsidTr="00626FFA">
        <w:trPr>
          <w:jc w:val="center"/>
        </w:trPr>
        <w:tc>
          <w:tcPr>
            <w:tcW w:w="684" w:type="dxa"/>
            <w:vAlign w:val="center"/>
          </w:tcPr>
          <w:p w14:paraId="523BF969"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4.0</w:t>
            </w:r>
          </w:p>
        </w:tc>
        <w:tc>
          <w:tcPr>
            <w:tcW w:w="8221" w:type="dxa"/>
            <w:vAlign w:val="center"/>
          </w:tcPr>
          <w:p w14:paraId="61DC256E"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ROLES AND RESPONSIBILITIES</w:t>
            </w:r>
          </w:p>
        </w:tc>
        <w:tc>
          <w:tcPr>
            <w:tcW w:w="425" w:type="dxa"/>
            <w:vAlign w:val="center"/>
          </w:tcPr>
          <w:p w14:paraId="5594E991" w14:textId="636B5006" w:rsidR="004C5E06" w:rsidRPr="00A87AD8" w:rsidRDefault="002A74BC" w:rsidP="00626FFA">
            <w:pPr>
              <w:spacing w:line="480" w:lineRule="auto"/>
              <w:jc w:val="center"/>
              <w:rPr>
                <w:rFonts w:ascii="Arial" w:eastAsia="Arial" w:hAnsi="Arial" w:cs="Arial"/>
                <w:b/>
                <w:color w:val="0070C0"/>
                <w:sz w:val="24"/>
                <w:szCs w:val="24"/>
              </w:rPr>
            </w:pPr>
            <w:r>
              <w:rPr>
                <w:rFonts w:ascii="Arial" w:eastAsia="Arial" w:hAnsi="Arial" w:cs="Arial"/>
                <w:b/>
                <w:color w:val="0070C0"/>
                <w:sz w:val="24"/>
                <w:szCs w:val="24"/>
              </w:rPr>
              <w:t>6</w:t>
            </w:r>
          </w:p>
        </w:tc>
      </w:tr>
      <w:tr w:rsidR="004C5E06" w:rsidRPr="00A87AD8" w14:paraId="3FC5D161" w14:textId="77777777" w:rsidTr="00626FFA">
        <w:trPr>
          <w:jc w:val="center"/>
        </w:trPr>
        <w:tc>
          <w:tcPr>
            <w:tcW w:w="684" w:type="dxa"/>
            <w:vAlign w:val="center"/>
          </w:tcPr>
          <w:p w14:paraId="11FCEA1A"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5.0</w:t>
            </w:r>
          </w:p>
        </w:tc>
        <w:tc>
          <w:tcPr>
            <w:tcW w:w="8221" w:type="dxa"/>
            <w:vAlign w:val="center"/>
          </w:tcPr>
          <w:p w14:paraId="2EADA3B0"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PROCESS DESCRIPTION</w:t>
            </w:r>
          </w:p>
        </w:tc>
        <w:tc>
          <w:tcPr>
            <w:tcW w:w="425" w:type="dxa"/>
            <w:vAlign w:val="center"/>
          </w:tcPr>
          <w:p w14:paraId="566D7246"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7</w:t>
            </w:r>
          </w:p>
        </w:tc>
      </w:tr>
      <w:tr w:rsidR="004C5E06" w:rsidRPr="00A87AD8" w14:paraId="15BEBB5E" w14:textId="77777777" w:rsidTr="00626FFA">
        <w:trPr>
          <w:jc w:val="center"/>
        </w:trPr>
        <w:tc>
          <w:tcPr>
            <w:tcW w:w="684" w:type="dxa"/>
            <w:vAlign w:val="center"/>
          </w:tcPr>
          <w:p w14:paraId="22FE49EF"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6.0</w:t>
            </w:r>
          </w:p>
        </w:tc>
        <w:tc>
          <w:tcPr>
            <w:tcW w:w="8221" w:type="dxa"/>
            <w:vAlign w:val="center"/>
          </w:tcPr>
          <w:p w14:paraId="10672B8C"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TRAINING / COMPETENCE REQUIREMENTS</w:t>
            </w:r>
          </w:p>
        </w:tc>
        <w:tc>
          <w:tcPr>
            <w:tcW w:w="425" w:type="dxa"/>
            <w:vAlign w:val="center"/>
          </w:tcPr>
          <w:p w14:paraId="60FE458A" w14:textId="77B509BF"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1</w:t>
            </w:r>
            <w:r w:rsidR="002A74BC">
              <w:rPr>
                <w:rFonts w:ascii="Arial" w:eastAsia="Arial" w:hAnsi="Arial" w:cs="Arial"/>
                <w:b/>
                <w:color w:val="0070C0"/>
                <w:sz w:val="24"/>
                <w:szCs w:val="24"/>
              </w:rPr>
              <w:t>0</w:t>
            </w:r>
          </w:p>
        </w:tc>
      </w:tr>
      <w:tr w:rsidR="004C5E06" w:rsidRPr="00A87AD8" w14:paraId="667D875A" w14:textId="77777777" w:rsidTr="00626FFA">
        <w:trPr>
          <w:jc w:val="center"/>
        </w:trPr>
        <w:tc>
          <w:tcPr>
            <w:tcW w:w="684" w:type="dxa"/>
            <w:vAlign w:val="center"/>
          </w:tcPr>
          <w:p w14:paraId="5126BEC4"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7.0</w:t>
            </w:r>
          </w:p>
        </w:tc>
        <w:tc>
          <w:tcPr>
            <w:tcW w:w="8221" w:type="dxa"/>
            <w:vAlign w:val="center"/>
          </w:tcPr>
          <w:p w14:paraId="56715931"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MONITORING</w:t>
            </w:r>
          </w:p>
        </w:tc>
        <w:tc>
          <w:tcPr>
            <w:tcW w:w="425" w:type="dxa"/>
            <w:vAlign w:val="center"/>
          </w:tcPr>
          <w:p w14:paraId="55778D88" w14:textId="00DC3B18"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1</w:t>
            </w:r>
            <w:r w:rsidR="002A74BC">
              <w:rPr>
                <w:rFonts w:ascii="Arial" w:eastAsia="Arial" w:hAnsi="Arial" w:cs="Arial"/>
                <w:b/>
                <w:color w:val="0070C0"/>
                <w:sz w:val="24"/>
                <w:szCs w:val="24"/>
              </w:rPr>
              <w:t>1</w:t>
            </w:r>
          </w:p>
        </w:tc>
      </w:tr>
      <w:tr w:rsidR="004C5E06" w:rsidRPr="00A87AD8" w14:paraId="701C1639" w14:textId="77777777" w:rsidTr="00626FFA">
        <w:trPr>
          <w:jc w:val="center"/>
        </w:trPr>
        <w:tc>
          <w:tcPr>
            <w:tcW w:w="684" w:type="dxa"/>
            <w:vAlign w:val="center"/>
          </w:tcPr>
          <w:p w14:paraId="78BE6594"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8.0</w:t>
            </w:r>
          </w:p>
        </w:tc>
        <w:tc>
          <w:tcPr>
            <w:tcW w:w="8221" w:type="dxa"/>
            <w:vAlign w:val="center"/>
          </w:tcPr>
          <w:p w14:paraId="3B4BCF75"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REFERENCES</w:t>
            </w:r>
          </w:p>
        </w:tc>
        <w:tc>
          <w:tcPr>
            <w:tcW w:w="425" w:type="dxa"/>
            <w:vAlign w:val="center"/>
          </w:tcPr>
          <w:p w14:paraId="66629C89" w14:textId="2528BA2F"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1</w:t>
            </w:r>
            <w:r w:rsidR="002A74BC">
              <w:rPr>
                <w:rFonts w:ascii="Arial" w:eastAsia="Arial" w:hAnsi="Arial" w:cs="Arial"/>
                <w:b/>
                <w:color w:val="0070C0"/>
                <w:sz w:val="24"/>
                <w:szCs w:val="24"/>
              </w:rPr>
              <w:t>1</w:t>
            </w:r>
          </w:p>
        </w:tc>
      </w:tr>
      <w:tr w:rsidR="004C5E06" w:rsidRPr="00A87AD8" w14:paraId="7ABC63D8" w14:textId="77777777" w:rsidTr="00626FFA">
        <w:trPr>
          <w:jc w:val="center"/>
        </w:trPr>
        <w:tc>
          <w:tcPr>
            <w:tcW w:w="684" w:type="dxa"/>
            <w:vAlign w:val="center"/>
          </w:tcPr>
          <w:p w14:paraId="008D7C7A" w14:textId="77777777"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9.0</w:t>
            </w:r>
          </w:p>
        </w:tc>
        <w:tc>
          <w:tcPr>
            <w:tcW w:w="8221" w:type="dxa"/>
            <w:vAlign w:val="center"/>
          </w:tcPr>
          <w:p w14:paraId="4EECF9DC" w14:textId="77777777" w:rsidR="004C5E06" w:rsidRPr="00A87AD8" w:rsidRDefault="004C5E06" w:rsidP="00626FFA">
            <w:pPr>
              <w:spacing w:line="480" w:lineRule="auto"/>
              <w:rPr>
                <w:rFonts w:ascii="Arial" w:eastAsia="Arial" w:hAnsi="Arial" w:cs="Arial"/>
                <w:b/>
                <w:color w:val="0070C0"/>
                <w:sz w:val="24"/>
                <w:szCs w:val="24"/>
              </w:rPr>
            </w:pPr>
            <w:r w:rsidRPr="00A87AD8">
              <w:rPr>
                <w:rFonts w:ascii="Arial" w:eastAsia="Arial" w:hAnsi="Arial" w:cs="Arial"/>
                <w:b/>
                <w:color w:val="0070C0"/>
                <w:sz w:val="24"/>
                <w:szCs w:val="24"/>
              </w:rPr>
              <w:t>APPENDIX A</w:t>
            </w:r>
          </w:p>
        </w:tc>
        <w:tc>
          <w:tcPr>
            <w:tcW w:w="425" w:type="dxa"/>
            <w:vAlign w:val="center"/>
          </w:tcPr>
          <w:p w14:paraId="743A46D6" w14:textId="66397706" w:rsidR="004C5E06" w:rsidRPr="00A87AD8" w:rsidRDefault="004C5E06" w:rsidP="00626FFA">
            <w:pPr>
              <w:spacing w:line="480" w:lineRule="auto"/>
              <w:jc w:val="center"/>
              <w:rPr>
                <w:rFonts w:ascii="Arial" w:eastAsia="Arial" w:hAnsi="Arial" w:cs="Arial"/>
                <w:b/>
                <w:color w:val="0070C0"/>
                <w:sz w:val="24"/>
                <w:szCs w:val="24"/>
              </w:rPr>
            </w:pPr>
            <w:r w:rsidRPr="00A87AD8">
              <w:rPr>
                <w:rFonts w:ascii="Arial" w:eastAsia="Arial" w:hAnsi="Arial" w:cs="Arial"/>
                <w:b/>
                <w:color w:val="0070C0"/>
                <w:sz w:val="24"/>
                <w:szCs w:val="24"/>
              </w:rPr>
              <w:t>1</w:t>
            </w:r>
            <w:r w:rsidR="002A74BC">
              <w:rPr>
                <w:rFonts w:ascii="Arial" w:eastAsia="Arial" w:hAnsi="Arial" w:cs="Arial"/>
                <w:b/>
                <w:color w:val="0070C0"/>
                <w:sz w:val="24"/>
                <w:szCs w:val="24"/>
              </w:rPr>
              <w:t>2</w:t>
            </w:r>
          </w:p>
        </w:tc>
      </w:tr>
    </w:tbl>
    <w:p w14:paraId="6953E4DB" w14:textId="284F4916" w:rsidR="00B23C33" w:rsidRPr="00A87AD8" w:rsidRDefault="00B23C33" w:rsidP="004C5E06">
      <w:pPr>
        <w:spacing w:after="200" w:line="276" w:lineRule="auto"/>
        <w:rPr>
          <w:rFonts w:ascii="Arial" w:eastAsia="Arial" w:hAnsi="Arial" w:cs="Arial"/>
          <w:iCs/>
          <w:sz w:val="24"/>
          <w:szCs w:val="24"/>
        </w:rPr>
      </w:pPr>
    </w:p>
    <w:p w14:paraId="593DC48D" w14:textId="31AA40D2" w:rsidR="0079393B" w:rsidRPr="00A87AD8" w:rsidRDefault="0079393B" w:rsidP="00B23C33">
      <w:pPr>
        <w:pStyle w:val="ListParagraph"/>
        <w:spacing w:after="200" w:line="276" w:lineRule="auto"/>
        <w:rPr>
          <w:rFonts w:ascii="Arial" w:eastAsia="Arial" w:hAnsi="Arial" w:cs="Arial"/>
          <w:iCs/>
          <w:sz w:val="24"/>
          <w:szCs w:val="24"/>
        </w:rPr>
      </w:pPr>
    </w:p>
    <w:p w14:paraId="49D06E68" w14:textId="77777777" w:rsidR="004C5E06" w:rsidRPr="00A87AD8" w:rsidRDefault="004C5E06">
      <w:pPr>
        <w:spacing w:after="200" w:line="276" w:lineRule="auto"/>
        <w:rPr>
          <w:rFonts w:ascii="Arial" w:eastAsia="Arial" w:hAnsi="Arial" w:cs="Arial"/>
          <w:b/>
          <w:i/>
          <w:sz w:val="24"/>
          <w:szCs w:val="24"/>
        </w:rPr>
      </w:pPr>
      <w:r w:rsidRPr="00A87AD8">
        <w:rPr>
          <w:rFonts w:ascii="Arial" w:eastAsia="Arial" w:hAnsi="Arial" w:cs="Arial"/>
          <w:b/>
          <w:i/>
          <w:sz w:val="24"/>
          <w:szCs w:val="24"/>
        </w:rPr>
        <w:br w:type="page"/>
      </w:r>
    </w:p>
    <w:p w14:paraId="765097D2" w14:textId="77777777" w:rsidR="004C5E06" w:rsidRPr="00A87AD8" w:rsidRDefault="004C5E06" w:rsidP="00A87AD8">
      <w:pPr>
        <w:pStyle w:val="ListParagraph"/>
        <w:numPr>
          <w:ilvl w:val="0"/>
          <w:numId w:val="22"/>
        </w:numPr>
        <w:rPr>
          <w:rFonts w:ascii="Arial" w:eastAsia="Arial" w:hAnsi="Arial" w:cs="Arial"/>
          <w:i/>
          <w:sz w:val="24"/>
          <w:szCs w:val="24"/>
        </w:rPr>
      </w:pPr>
      <w:r w:rsidRPr="00A87AD8">
        <w:rPr>
          <w:rFonts w:ascii="Arial" w:eastAsia="Times New Roman" w:hAnsi="Arial" w:cs="Arial"/>
          <w:b/>
          <w:bCs/>
          <w:color w:val="005EB8"/>
          <w:sz w:val="24"/>
          <w:szCs w:val="24"/>
        </w:rPr>
        <w:lastRenderedPageBreak/>
        <w:t>FLOW DIAGRAM</w:t>
      </w:r>
    </w:p>
    <w:p w14:paraId="0CDD3CA4" w14:textId="5A76BE34" w:rsidR="004C5E06" w:rsidRPr="00A87AD8" w:rsidRDefault="004C5E06" w:rsidP="00A87AD8">
      <w:pPr>
        <w:pStyle w:val="ListParagraph"/>
        <w:rPr>
          <w:rFonts w:ascii="Arial" w:eastAsia="Arial" w:hAnsi="Arial" w:cs="Arial"/>
          <w:iCs/>
          <w:sz w:val="24"/>
          <w:szCs w:val="24"/>
        </w:rPr>
      </w:pPr>
    </w:p>
    <w:p w14:paraId="692A717E" w14:textId="5A31F6A8" w:rsidR="004C5E06" w:rsidRPr="00A87AD8" w:rsidRDefault="004C5E06" w:rsidP="00A87AD8">
      <w:pPr>
        <w:jc w:val="center"/>
        <w:rPr>
          <w:rFonts w:ascii="Arial" w:eastAsia="Calibri" w:hAnsi="Arial" w:cs="Arial"/>
          <w:color w:val="000000"/>
          <w:sz w:val="24"/>
          <w:szCs w:val="24"/>
          <w:lang w:val="en-US"/>
        </w:rPr>
      </w:pPr>
      <w:r w:rsidRPr="00A87AD8">
        <w:rPr>
          <w:rFonts w:ascii="Arial" w:eastAsia="Arial" w:hAnsi="Arial" w:cs="Arial"/>
          <w:b/>
          <w:color w:val="000000"/>
          <w:spacing w:val="1"/>
          <w:sz w:val="24"/>
          <w:szCs w:val="24"/>
          <w:lang w:val="en-US"/>
        </w:rPr>
        <w:tab/>
        <w:t>Stage 1:</w:t>
      </w:r>
      <w:r w:rsidR="00326562">
        <w:rPr>
          <w:rFonts w:ascii="Arial" w:eastAsia="Arial" w:hAnsi="Arial" w:cs="Arial"/>
          <w:b/>
          <w:color w:val="000000"/>
          <w:spacing w:val="1"/>
          <w:sz w:val="24"/>
          <w:szCs w:val="24"/>
          <w:lang w:val="en-US"/>
        </w:rPr>
        <w:t xml:space="preserve"> </w:t>
      </w:r>
      <w:r w:rsidRPr="00A87AD8">
        <w:rPr>
          <w:rFonts w:ascii="Arial" w:eastAsia="Arial" w:hAnsi="Arial" w:cs="Arial"/>
          <w:b/>
          <w:color w:val="000000"/>
          <w:spacing w:val="1"/>
          <w:sz w:val="24"/>
          <w:szCs w:val="24"/>
          <w:lang w:val="en-US"/>
        </w:rPr>
        <w:t>Identification -</w:t>
      </w:r>
      <w:r w:rsidRPr="00A87AD8">
        <w:rPr>
          <w:rFonts w:ascii="Arial" w:eastAsia="Arial" w:hAnsi="Arial" w:cs="Arial"/>
          <w:color w:val="000000"/>
          <w:spacing w:val="1"/>
          <w:sz w:val="24"/>
          <w:szCs w:val="24"/>
          <w:lang w:val="en-US"/>
        </w:rPr>
        <w:t xml:space="preserve"> </w:t>
      </w:r>
      <w:r w:rsidRPr="00A87AD8">
        <w:rPr>
          <w:rFonts w:ascii="Arial" w:eastAsia="Arial" w:hAnsi="Arial" w:cs="Arial"/>
          <w:b/>
          <w:color w:val="000000"/>
          <w:spacing w:val="1"/>
          <w:sz w:val="24"/>
          <w:szCs w:val="24"/>
          <w:lang w:val="en-US"/>
        </w:rPr>
        <w:t xml:space="preserve">Is </w:t>
      </w:r>
      <w:r w:rsidR="002F6DDC">
        <w:rPr>
          <w:rFonts w:ascii="Arial" w:eastAsia="Arial" w:hAnsi="Arial" w:cs="Arial"/>
          <w:b/>
          <w:color w:val="000000"/>
          <w:spacing w:val="1"/>
          <w:sz w:val="24"/>
          <w:szCs w:val="24"/>
          <w:lang w:val="en-US"/>
        </w:rPr>
        <w:t>t</w:t>
      </w:r>
      <w:r w:rsidR="00326562" w:rsidRPr="00A87AD8">
        <w:rPr>
          <w:rFonts w:ascii="Arial" w:eastAsia="Arial" w:hAnsi="Arial" w:cs="Arial"/>
          <w:b/>
          <w:color w:val="000000"/>
          <w:spacing w:val="1"/>
          <w:sz w:val="24"/>
          <w:szCs w:val="24"/>
          <w:lang w:val="en-US"/>
        </w:rPr>
        <w:t xml:space="preserve">he Patient A Candidate </w:t>
      </w:r>
      <w:proofErr w:type="gramStart"/>
      <w:r w:rsidR="00326562" w:rsidRPr="00A87AD8">
        <w:rPr>
          <w:rFonts w:ascii="Arial" w:eastAsia="Arial" w:hAnsi="Arial" w:cs="Arial"/>
          <w:b/>
          <w:color w:val="000000"/>
          <w:spacing w:val="1"/>
          <w:sz w:val="24"/>
          <w:szCs w:val="24"/>
          <w:lang w:val="en-US"/>
        </w:rPr>
        <w:t>For</w:t>
      </w:r>
      <w:proofErr w:type="gramEnd"/>
      <w:r w:rsidR="00326562" w:rsidRPr="00A87AD8">
        <w:rPr>
          <w:rFonts w:ascii="Arial" w:eastAsia="Arial" w:hAnsi="Arial" w:cs="Arial"/>
          <w:b/>
          <w:color w:val="000000"/>
          <w:spacing w:val="1"/>
          <w:sz w:val="24"/>
          <w:szCs w:val="24"/>
          <w:lang w:val="en-US"/>
        </w:rPr>
        <w:t xml:space="preserve"> Eating And Drinking With Acknowledged Risks</w:t>
      </w:r>
      <w:r w:rsidR="00DE4A24">
        <w:rPr>
          <w:rFonts w:ascii="Arial" w:eastAsia="Arial" w:hAnsi="Arial" w:cs="Arial"/>
          <w:b/>
          <w:color w:val="000000"/>
          <w:spacing w:val="1"/>
          <w:sz w:val="24"/>
          <w:szCs w:val="24"/>
          <w:lang w:val="en-US"/>
        </w:rPr>
        <w:t>?</w:t>
      </w:r>
    </w:p>
    <w:p w14:paraId="3B3486F6" w14:textId="77777777" w:rsidR="004C5E06" w:rsidRPr="00A87AD8" w:rsidRDefault="004C5E06" w:rsidP="00A87AD8">
      <w:pPr>
        <w:pStyle w:val="ListParagraph"/>
        <w:rPr>
          <w:rFonts w:ascii="Arial" w:eastAsia="Arial" w:hAnsi="Arial" w:cs="Arial"/>
          <w:iCs/>
          <w:sz w:val="24"/>
          <w:szCs w:val="24"/>
        </w:rPr>
      </w:pPr>
    </w:p>
    <w:tbl>
      <w:tblPr>
        <w:tblStyle w:val="TableGrid"/>
        <w:tblW w:w="0" w:type="auto"/>
        <w:tblInd w:w="715" w:type="dxa"/>
        <w:tblLook w:val="04A0" w:firstRow="1" w:lastRow="0" w:firstColumn="1" w:lastColumn="0" w:noHBand="0" w:noVBand="1"/>
      </w:tblPr>
      <w:tblGrid>
        <w:gridCol w:w="8301"/>
      </w:tblGrid>
      <w:tr w:rsidR="004C5E06" w:rsidRPr="00A87AD8" w14:paraId="3562B7E5" w14:textId="77777777" w:rsidTr="00626FFA">
        <w:tc>
          <w:tcPr>
            <w:tcW w:w="9021" w:type="dxa"/>
            <w:tcMar>
              <w:top w:w="115" w:type="dxa"/>
              <w:left w:w="288" w:type="dxa"/>
              <w:bottom w:w="115" w:type="dxa"/>
              <w:right w:w="288" w:type="dxa"/>
            </w:tcMar>
          </w:tcPr>
          <w:p w14:paraId="1E6C220B" w14:textId="38BE0561" w:rsidR="004C5E06" w:rsidRPr="00A87AD8" w:rsidRDefault="004C5E06" w:rsidP="00A87AD8">
            <w:pPr>
              <w:jc w:val="center"/>
              <w:rPr>
                <w:rFonts w:ascii="Arial" w:hAnsi="Arial" w:cs="Arial"/>
                <w:sz w:val="24"/>
                <w:szCs w:val="24"/>
              </w:rPr>
            </w:pPr>
            <w:r w:rsidRPr="004C5E06">
              <w:rPr>
                <w:rFonts w:ascii="Arial" w:hAnsi="Arial" w:cs="Arial"/>
                <w:sz w:val="24"/>
                <w:szCs w:val="24"/>
              </w:rPr>
              <w:t>Shared decision making context relating to eating and drinking with risk identified* (see 5.</w:t>
            </w:r>
            <w:r w:rsidR="00520245">
              <w:rPr>
                <w:rFonts w:ascii="Arial" w:hAnsi="Arial" w:cs="Arial"/>
                <w:sz w:val="24"/>
                <w:szCs w:val="24"/>
              </w:rPr>
              <w:t>3</w:t>
            </w:r>
            <w:r w:rsidRPr="004C5E06">
              <w:rPr>
                <w:rFonts w:ascii="Arial" w:hAnsi="Arial" w:cs="Arial"/>
                <w:sz w:val="24"/>
                <w:szCs w:val="24"/>
              </w:rPr>
              <w:t>)</w:t>
            </w:r>
            <w:r w:rsidRPr="00A87AD8">
              <w:rPr>
                <w:rFonts w:ascii="Arial" w:hAnsi="Arial" w:cs="Arial"/>
                <w:sz w:val="24"/>
                <w:szCs w:val="24"/>
              </w:rPr>
              <w:t>.</w:t>
            </w:r>
          </w:p>
        </w:tc>
      </w:tr>
    </w:tbl>
    <w:p w14:paraId="531693EA" w14:textId="77777777" w:rsidR="00DE4A24" w:rsidRDefault="00DE4A24" w:rsidP="00A87AD8">
      <w:pPr>
        <w:rPr>
          <w:rFonts w:ascii="Arial" w:eastAsia="Arial" w:hAnsi="Arial" w:cs="Arial"/>
          <w:sz w:val="24"/>
          <w:szCs w:val="24"/>
        </w:rPr>
      </w:pPr>
    </w:p>
    <w:p w14:paraId="51AD0817" w14:textId="4C0AAFA7" w:rsidR="00DE4A24" w:rsidRPr="00A87AD8" w:rsidRDefault="00DE4A24" w:rsidP="00DE4A24">
      <w:pPr>
        <w:ind w:firstLine="720"/>
        <w:jc w:val="center"/>
        <w:rPr>
          <w:rFonts w:ascii="Arial" w:eastAsia="Calibri" w:hAnsi="Arial" w:cs="Arial"/>
          <w:color w:val="000000"/>
          <w:sz w:val="24"/>
          <w:szCs w:val="24"/>
          <w:lang w:val="en-US"/>
        </w:rPr>
      </w:pPr>
      <w:r w:rsidRPr="00A87AD8">
        <w:rPr>
          <w:rFonts w:ascii="Arial" w:eastAsia="Arial" w:hAnsi="Arial" w:cs="Arial"/>
          <w:b/>
          <w:color w:val="000000"/>
          <w:spacing w:val="1"/>
          <w:sz w:val="24"/>
          <w:szCs w:val="24"/>
          <w:lang w:val="en-US"/>
        </w:rPr>
        <w:t xml:space="preserve">Stage </w:t>
      </w:r>
      <w:r>
        <w:rPr>
          <w:rFonts w:ascii="Arial" w:eastAsia="Arial" w:hAnsi="Arial" w:cs="Arial"/>
          <w:b/>
          <w:color w:val="000000"/>
          <w:spacing w:val="1"/>
          <w:sz w:val="24"/>
          <w:szCs w:val="24"/>
          <w:lang w:val="en-US"/>
        </w:rPr>
        <w:t>2</w:t>
      </w:r>
      <w:r w:rsidRPr="00A87AD8">
        <w:rPr>
          <w:rFonts w:ascii="Arial" w:eastAsia="Arial" w:hAnsi="Arial" w:cs="Arial"/>
          <w:b/>
          <w:color w:val="000000"/>
          <w:spacing w:val="1"/>
          <w:sz w:val="24"/>
          <w:szCs w:val="24"/>
          <w:lang w:val="en-US"/>
        </w:rPr>
        <w:t>:</w:t>
      </w:r>
      <w:r>
        <w:rPr>
          <w:rFonts w:ascii="Arial" w:eastAsia="Arial" w:hAnsi="Arial" w:cs="Arial"/>
          <w:b/>
          <w:color w:val="000000"/>
          <w:spacing w:val="1"/>
          <w:sz w:val="24"/>
          <w:szCs w:val="24"/>
          <w:lang w:val="en-US"/>
        </w:rPr>
        <w:t xml:space="preserve"> Gather more information</w:t>
      </w:r>
    </w:p>
    <w:p w14:paraId="2CB16215" w14:textId="77777777" w:rsidR="00DE4A24" w:rsidRDefault="00DE4A24" w:rsidP="00A87AD8">
      <w:pPr>
        <w:rPr>
          <w:rFonts w:ascii="Arial" w:eastAsia="Arial" w:hAnsi="Arial" w:cs="Arial"/>
          <w:sz w:val="24"/>
          <w:szCs w:val="24"/>
        </w:rPr>
      </w:pPr>
    </w:p>
    <w:p w14:paraId="27359300" w14:textId="0A4DFD04" w:rsidR="004C5E06" w:rsidRPr="00A87AD8" w:rsidRDefault="004C5E06" w:rsidP="00A87AD8">
      <w:pPr>
        <w:rPr>
          <w:rFonts w:ascii="Arial" w:eastAsia="Arial" w:hAnsi="Arial" w:cs="Arial"/>
          <w:sz w:val="24"/>
          <w:szCs w:val="24"/>
        </w:rPr>
      </w:pPr>
    </w:p>
    <w:tbl>
      <w:tblPr>
        <w:tblStyle w:val="TableGrid"/>
        <w:tblW w:w="0" w:type="auto"/>
        <w:tblInd w:w="715" w:type="dxa"/>
        <w:tblLook w:val="04A0" w:firstRow="1" w:lastRow="0" w:firstColumn="1" w:lastColumn="0" w:noHBand="0" w:noVBand="1"/>
      </w:tblPr>
      <w:tblGrid>
        <w:gridCol w:w="8301"/>
      </w:tblGrid>
      <w:tr w:rsidR="004C5E06" w:rsidRPr="00A87AD8" w14:paraId="58A2C0ED" w14:textId="77777777" w:rsidTr="00626FFA">
        <w:tc>
          <w:tcPr>
            <w:tcW w:w="9021" w:type="dxa"/>
            <w:tcMar>
              <w:top w:w="115" w:type="dxa"/>
              <w:left w:w="288" w:type="dxa"/>
              <w:bottom w:w="115" w:type="dxa"/>
              <w:right w:w="288" w:type="dxa"/>
            </w:tcMar>
          </w:tcPr>
          <w:p w14:paraId="4D55336D" w14:textId="32A6AD89" w:rsidR="004C5E06" w:rsidRPr="00A87AD8" w:rsidRDefault="004C5E06" w:rsidP="00A87AD8">
            <w:pPr>
              <w:jc w:val="center"/>
              <w:rPr>
                <w:rFonts w:ascii="Arial" w:hAnsi="Arial" w:cs="Arial"/>
                <w:sz w:val="24"/>
                <w:szCs w:val="24"/>
              </w:rPr>
            </w:pPr>
            <w:r w:rsidRPr="004C5E06">
              <w:rPr>
                <w:rFonts w:ascii="Arial" w:hAnsi="Arial" w:cs="Arial"/>
                <w:sz w:val="24"/>
                <w:szCs w:val="24"/>
              </w:rPr>
              <w:t>Establish the goal of intervention</w:t>
            </w:r>
            <w:r w:rsidR="00A32C67" w:rsidRPr="00A87AD8">
              <w:rPr>
                <w:rFonts w:ascii="Arial" w:hAnsi="Arial" w:cs="Arial"/>
                <w:sz w:val="24"/>
                <w:szCs w:val="24"/>
              </w:rPr>
              <w:t xml:space="preserve"> </w:t>
            </w:r>
            <w:r w:rsidRPr="004C5E06">
              <w:rPr>
                <w:rFonts w:ascii="Arial" w:hAnsi="Arial" w:cs="Arial"/>
                <w:sz w:val="24"/>
                <w:szCs w:val="24"/>
              </w:rPr>
              <w:t>/</w:t>
            </w:r>
            <w:r w:rsidR="00A32C67" w:rsidRPr="00A87AD8">
              <w:rPr>
                <w:rFonts w:ascii="Arial" w:hAnsi="Arial" w:cs="Arial"/>
                <w:sz w:val="24"/>
                <w:szCs w:val="24"/>
              </w:rPr>
              <w:t xml:space="preserve"> </w:t>
            </w:r>
            <w:r w:rsidRPr="004C5E06">
              <w:rPr>
                <w:rFonts w:ascii="Arial" w:hAnsi="Arial" w:cs="Arial"/>
                <w:sz w:val="24"/>
                <w:szCs w:val="24"/>
              </w:rPr>
              <w:t>care, for example active treatment, or end of life care etc</w:t>
            </w:r>
            <w:r w:rsidRPr="00A87AD8">
              <w:rPr>
                <w:rFonts w:ascii="Arial" w:hAnsi="Arial" w:cs="Arial"/>
                <w:sz w:val="24"/>
                <w:szCs w:val="24"/>
              </w:rPr>
              <w:t>.</w:t>
            </w:r>
          </w:p>
        </w:tc>
      </w:tr>
    </w:tbl>
    <w:p w14:paraId="76D02640" w14:textId="77777777" w:rsidR="004C5E06" w:rsidRPr="00A87AD8" w:rsidRDefault="004C5E06"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86912" behindDoc="0" locked="0" layoutInCell="1" allowOverlap="1" wp14:anchorId="400C29D5" wp14:editId="2DAD96BD">
                <wp:simplePos x="0" y="0"/>
                <wp:positionH relativeFrom="column">
                  <wp:posOffset>3203575</wp:posOffset>
                </wp:positionH>
                <wp:positionV relativeFrom="paragraph">
                  <wp:posOffset>-3810</wp:posOffset>
                </wp:positionV>
                <wp:extent cx="0" cy="1619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D43C2B" id="Straight Arrow Connector 19" o:spid="_x0000_s1026" type="#_x0000_t32" style="position:absolute;margin-left:252.25pt;margin-top:-.3pt;width:0;height:12.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4C5E06" w:rsidRPr="00A87AD8" w14:paraId="1BEE2841" w14:textId="77777777" w:rsidTr="00626FFA">
        <w:tc>
          <w:tcPr>
            <w:tcW w:w="9021" w:type="dxa"/>
            <w:tcMar>
              <w:top w:w="115" w:type="dxa"/>
              <w:left w:w="288" w:type="dxa"/>
              <w:bottom w:w="115" w:type="dxa"/>
              <w:right w:w="288" w:type="dxa"/>
            </w:tcMar>
          </w:tcPr>
          <w:p w14:paraId="2A586381" w14:textId="6768CD0D" w:rsidR="004C5E06" w:rsidRPr="00A87AD8" w:rsidRDefault="004C5E06" w:rsidP="00A87AD8">
            <w:pPr>
              <w:jc w:val="center"/>
              <w:rPr>
                <w:rFonts w:ascii="Arial" w:hAnsi="Arial" w:cs="Arial"/>
                <w:sz w:val="24"/>
                <w:szCs w:val="24"/>
              </w:rPr>
            </w:pPr>
            <w:r w:rsidRPr="00A87AD8">
              <w:rPr>
                <w:rFonts w:ascii="Arial" w:hAnsi="Arial" w:cs="Arial"/>
                <w:sz w:val="24"/>
                <w:szCs w:val="24"/>
              </w:rPr>
              <w:t>Establish whether an advanced care plan or eating and drinking with risk care plan is already in place.</w:t>
            </w:r>
          </w:p>
        </w:tc>
      </w:tr>
    </w:tbl>
    <w:p w14:paraId="1A8AF7AB" w14:textId="77777777" w:rsidR="004C5E06" w:rsidRPr="00A87AD8" w:rsidRDefault="004C5E06"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87936" behindDoc="0" locked="0" layoutInCell="1" allowOverlap="1" wp14:anchorId="777C99A3" wp14:editId="021EFF46">
                <wp:simplePos x="0" y="0"/>
                <wp:positionH relativeFrom="column">
                  <wp:posOffset>3203575</wp:posOffset>
                </wp:positionH>
                <wp:positionV relativeFrom="paragraph">
                  <wp:posOffset>-3810</wp:posOffset>
                </wp:positionV>
                <wp:extent cx="0" cy="16192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45CDE0" id="Straight Arrow Connector 20" o:spid="_x0000_s1026" type="#_x0000_t32" style="position:absolute;margin-left:252.25pt;margin-top:-.3pt;width:0;height:12.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4C5E06" w:rsidRPr="00A87AD8" w14:paraId="0E71EF78" w14:textId="77777777" w:rsidTr="00626FFA">
        <w:tc>
          <w:tcPr>
            <w:tcW w:w="9021" w:type="dxa"/>
            <w:tcMar>
              <w:top w:w="115" w:type="dxa"/>
              <w:left w:w="288" w:type="dxa"/>
              <w:bottom w:w="115" w:type="dxa"/>
              <w:right w:w="288" w:type="dxa"/>
            </w:tcMar>
          </w:tcPr>
          <w:p w14:paraId="10C91D33" w14:textId="4D364764" w:rsidR="004C5E06" w:rsidRPr="00A87AD8" w:rsidRDefault="004C5E06" w:rsidP="00A87AD8">
            <w:pPr>
              <w:jc w:val="center"/>
              <w:rPr>
                <w:rFonts w:ascii="Arial" w:hAnsi="Arial" w:cs="Arial"/>
                <w:sz w:val="24"/>
                <w:szCs w:val="24"/>
              </w:rPr>
            </w:pPr>
            <w:r w:rsidRPr="004C5E06">
              <w:rPr>
                <w:rFonts w:ascii="Arial" w:hAnsi="Arial" w:cs="Arial"/>
                <w:sz w:val="24"/>
                <w:szCs w:val="24"/>
              </w:rPr>
              <w:t>Document consent and capacity relating to understanding of the current difficulty</w:t>
            </w:r>
            <w:r w:rsidR="00A32C67" w:rsidRPr="00A87AD8">
              <w:rPr>
                <w:rFonts w:ascii="Arial" w:hAnsi="Arial" w:cs="Arial"/>
                <w:sz w:val="24"/>
                <w:szCs w:val="24"/>
              </w:rPr>
              <w:t xml:space="preserve"> </w:t>
            </w:r>
            <w:r w:rsidRPr="004C5E06">
              <w:rPr>
                <w:rFonts w:ascii="Arial" w:hAnsi="Arial" w:cs="Arial"/>
                <w:sz w:val="24"/>
                <w:szCs w:val="24"/>
              </w:rPr>
              <w:t>/</w:t>
            </w:r>
            <w:r w:rsidR="00A32C67" w:rsidRPr="00A87AD8">
              <w:rPr>
                <w:rFonts w:ascii="Arial" w:hAnsi="Arial" w:cs="Arial"/>
                <w:sz w:val="24"/>
                <w:szCs w:val="24"/>
              </w:rPr>
              <w:t xml:space="preserve"> </w:t>
            </w:r>
            <w:r w:rsidRPr="004C5E06">
              <w:rPr>
                <w:rFonts w:ascii="Arial" w:hAnsi="Arial" w:cs="Arial"/>
                <w:sz w:val="24"/>
                <w:szCs w:val="24"/>
              </w:rPr>
              <w:t>concern and capacity to consent to formal swallowing assessment.</w:t>
            </w:r>
          </w:p>
        </w:tc>
      </w:tr>
    </w:tbl>
    <w:p w14:paraId="43FC7C13" w14:textId="77777777" w:rsidR="004C5E06" w:rsidRPr="00A87AD8" w:rsidRDefault="004C5E06"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88960" behindDoc="0" locked="0" layoutInCell="1" allowOverlap="1" wp14:anchorId="7A33DA0C" wp14:editId="3240F25A">
                <wp:simplePos x="0" y="0"/>
                <wp:positionH relativeFrom="column">
                  <wp:posOffset>3203575</wp:posOffset>
                </wp:positionH>
                <wp:positionV relativeFrom="paragraph">
                  <wp:posOffset>-3810</wp:posOffset>
                </wp:positionV>
                <wp:extent cx="0" cy="161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464A9" id="Straight Arrow Connector 22" o:spid="_x0000_s1026" type="#_x0000_t32" style="position:absolute;margin-left:252.25pt;margin-top:-.3pt;width:0;height:12.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4C5E06" w:rsidRPr="00A87AD8" w14:paraId="128ADFC2" w14:textId="77777777" w:rsidTr="00626FFA">
        <w:tc>
          <w:tcPr>
            <w:tcW w:w="9021" w:type="dxa"/>
            <w:tcMar>
              <w:top w:w="115" w:type="dxa"/>
              <w:left w:w="288" w:type="dxa"/>
              <w:bottom w:w="115" w:type="dxa"/>
              <w:right w:w="288" w:type="dxa"/>
            </w:tcMar>
          </w:tcPr>
          <w:p w14:paraId="4830C88F" w14:textId="53165B18" w:rsidR="004C5E06" w:rsidRPr="00A87AD8" w:rsidRDefault="004C5E06" w:rsidP="00A87AD8">
            <w:pPr>
              <w:jc w:val="center"/>
              <w:rPr>
                <w:rFonts w:ascii="Arial" w:hAnsi="Arial" w:cs="Arial"/>
                <w:sz w:val="24"/>
                <w:szCs w:val="24"/>
              </w:rPr>
            </w:pPr>
            <w:r w:rsidRPr="004C5E06">
              <w:rPr>
                <w:rFonts w:ascii="Arial" w:hAnsi="Arial" w:cs="Arial"/>
                <w:sz w:val="24"/>
                <w:szCs w:val="24"/>
              </w:rPr>
              <w:t xml:space="preserve">Referral to </w:t>
            </w:r>
            <w:r w:rsidR="0024703F">
              <w:rPr>
                <w:rFonts w:ascii="Arial" w:hAnsi="Arial" w:cs="Arial"/>
                <w:sz w:val="24"/>
                <w:szCs w:val="24"/>
              </w:rPr>
              <w:t>Speech and Language Therapy (</w:t>
            </w:r>
            <w:r w:rsidRPr="004C5E06">
              <w:rPr>
                <w:rFonts w:ascii="Arial" w:hAnsi="Arial" w:cs="Arial"/>
                <w:sz w:val="24"/>
                <w:szCs w:val="24"/>
              </w:rPr>
              <w:t>SLT</w:t>
            </w:r>
            <w:r w:rsidR="0024703F">
              <w:rPr>
                <w:rFonts w:ascii="Arial" w:hAnsi="Arial" w:cs="Arial"/>
                <w:sz w:val="24"/>
                <w:szCs w:val="24"/>
              </w:rPr>
              <w:t>)</w:t>
            </w:r>
            <w:r w:rsidRPr="004C5E06">
              <w:rPr>
                <w:rFonts w:ascii="Arial" w:hAnsi="Arial" w:cs="Arial"/>
                <w:sz w:val="24"/>
                <w:szCs w:val="24"/>
              </w:rPr>
              <w:t xml:space="preserve"> </w:t>
            </w:r>
            <w:r w:rsidR="00DE4A24">
              <w:rPr>
                <w:rFonts w:ascii="Arial" w:hAnsi="Arial" w:cs="Arial"/>
                <w:sz w:val="24"/>
                <w:szCs w:val="24"/>
              </w:rPr>
              <w:t xml:space="preserve">if appropriate </w:t>
            </w:r>
            <w:r w:rsidRPr="004C5E06">
              <w:rPr>
                <w:rFonts w:ascii="Arial" w:hAnsi="Arial" w:cs="Arial"/>
                <w:sz w:val="24"/>
                <w:szCs w:val="24"/>
              </w:rPr>
              <w:t xml:space="preserve">to carry out formal assessment of swallowing with consent (if person has capacity or in Best Interests if they </w:t>
            </w:r>
            <w:proofErr w:type="gramStart"/>
            <w:r w:rsidRPr="004C5E06">
              <w:rPr>
                <w:rFonts w:ascii="Arial" w:hAnsi="Arial" w:cs="Arial"/>
                <w:sz w:val="24"/>
                <w:szCs w:val="24"/>
              </w:rPr>
              <w:t>don’t</w:t>
            </w:r>
            <w:proofErr w:type="gramEnd"/>
            <w:r w:rsidRPr="004C5E06">
              <w:rPr>
                <w:rFonts w:ascii="Arial" w:hAnsi="Arial" w:cs="Arial"/>
                <w:sz w:val="24"/>
                <w:szCs w:val="24"/>
              </w:rPr>
              <w:t xml:space="preserve"> have capacity.</w:t>
            </w:r>
            <w:r w:rsidR="00A32C67" w:rsidRPr="00A87AD8">
              <w:rPr>
                <w:rFonts w:ascii="Arial" w:hAnsi="Arial" w:cs="Arial"/>
                <w:sz w:val="24"/>
                <w:szCs w:val="24"/>
              </w:rPr>
              <w:t xml:space="preserve"> </w:t>
            </w:r>
            <w:r w:rsidRPr="004C5E06">
              <w:rPr>
                <w:rFonts w:ascii="Arial" w:hAnsi="Arial" w:cs="Arial"/>
                <w:sz w:val="24"/>
                <w:szCs w:val="24"/>
              </w:rPr>
              <w:t xml:space="preserve"> SLT will document risks associated with eating and drinking and feed back to person with dysphagia and the wider MDT</w:t>
            </w:r>
            <w:r w:rsidR="00A32C67" w:rsidRPr="00A87AD8">
              <w:rPr>
                <w:rFonts w:ascii="Arial" w:hAnsi="Arial" w:cs="Arial"/>
                <w:sz w:val="24"/>
                <w:szCs w:val="24"/>
              </w:rPr>
              <w:t xml:space="preserve"> </w:t>
            </w:r>
            <w:r w:rsidRPr="004C5E06">
              <w:rPr>
                <w:rFonts w:ascii="Arial" w:hAnsi="Arial" w:cs="Arial"/>
                <w:sz w:val="24"/>
                <w:szCs w:val="24"/>
              </w:rPr>
              <w:t>/</w:t>
            </w:r>
            <w:r w:rsidR="00A32C67" w:rsidRPr="00A87AD8">
              <w:rPr>
                <w:rFonts w:ascii="Arial" w:hAnsi="Arial" w:cs="Arial"/>
                <w:sz w:val="24"/>
                <w:szCs w:val="24"/>
              </w:rPr>
              <w:t xml:space="preserve"> </w:t>
            </w:r>
            <w:r w:rsidRPr="004C5E06">
              <w:rPr>
                <w:rFonts w:ascii="Arial" w:hAnsi="Arial" w:cs="Arial"/>
                <w:sz w:val="24"/>
                <w:szCs w:val="24"/>
              </w:rPr>
              <w:t>appropriate colleagues.</w:t>
            </w:r>
          </w:p>
        </w:tc>
      </w:tr>
    </w:tbl>
    <w:p w14:paraId="74B6C5BA" w14:textId="77777777" w:rsidR="004C5E06" w:rsidRPr="00A87AD8" w:rsidRDefault="004C5E06"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89984" behindDoc="0" locked="0" layoutInCell="1" allowOverlap="1" wp14:anchorId="009E3826" wp14:editId="50DCA7ED">
                <wp:simplePos x="0" y="0"/>
                <wp:positionH relativeFrom="column">
                  <wp:posOffset>3203575</wp:posOffset>
                </wp:positionH>
                <wp:positionV relativeFrom="paragraph">
                  <wp:posOffset>-3810</wp:posOffset>
                </wp:positionV>
                <wp:extent cx="0" cy="16192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DF17B6" id="Straight Arrow Connector 24" o:spid="_x0000_s1026" type="#_x0000_t32" style="position:absolute;margin-left:252.25pt;margin-top:-.3pt;width:0;height:12.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4C5E06" w:rsidRPr="00A87AD8" w14:paraId="17ECAF3B" w14:textId="77777777" w:rsidTr="00626FFA">
        <w:tc>
          <w:tcPr>
            <w:tcW w:w="9021" w:type="dxa"/>
            <w:tcMar>
              <w:top w:w="115" w:type="dxa"/>
              <w:left w:w="288" w:type="dxa"/>
              <w:bottom w:w="115" w:type="dxa"/>
              <w:right w:w="288" w:type="dxa"/>
            </w:tcMar>
          </w:tcPr>
          <w:p w14:paraId="22CC6FE0" w14:textId="6DBC4577" w:rsidR="004C5E06" w:rsidRPr="00A87AD8" w:rsidRDefault="004C5E06" w:rsidP="00A87AD8">
            <w:pPr>
              <w:jc w:val="center"/>
              <w:rPr>
                <w:rFonts w:ascii="Arial" w:hAnsi="Arial" w:cs="Arial"/>
                <w:sz w:val="24"/>
                <w:szCs w:val="24"/>
              </w:rPr>
            </w:pPr>
            <w:r w:rsidRPr="004C5E06">
              <w:rPr>
                <w:rFonts w:ascii="Arial" w:hAnsi="Arial" w:cs="Arial"/>
                <w:sz w:val="24"/>
                <w:szCs w:val="24"/>
              </w:rPr>
              <w:t>Determine whether CAN</w:t>
            </w:r>
            <w:r w:rsidR="00D15077">
              <w:rPr>
                <w:rFonts w:ascii="Arial" w:hAnsi="Arial" w:cs="Arial"/>
                <w:sz w:val="24"/>
                <w:szCs w:val="24"/>
              </w:rPr>
              <w:t>H</w:t>
            </w:r>
            <w:r w:rsidRPr="004C5E06">
              <w:rPr>
                <w:rFonts w:ascii="Arial" w:hAnsi="Arial" w:cs="Arial"/>
                <w:sz w:val="24"/>
                <w:szCs w:val="24"/>
              </w:rPr>
              <w:t xml:space="preserve"> is appropriate – see Trust guidance on </w:t>
            </w:r>
            <w:r w:rsidRPr="004C5E06">
              <w:rPr>
                <w:rFonts w:ascii="Arial" w:hAnsi="Arial" w:cs="Arial"/>
                <w:bCs/>
                <w:sz w:val="24"/>
                <w:szCs w:val="24"/>
              </w:rPr>
              <w:t>Supporting Decision Making Regarding Clinically Assisted Nutrition and Hydration</w:t>
            </w:r>
            <w:r w:rsidRPr="004C5E06">
              <w:rPr>
                <w:rFonts w:ascii="Arial" w:hAnsi="Arial" w:cs="Arial"/>
                <w:b/>
                <w:sz w:val="24"/>
                <w:szCs w:val="24"/>
              </w:rPr>
              <w:t xml:space="preserve"> </w:t>
            </w:r>
            <w:r w:rsidRPr="004C5E06">
              <w:rPr>
                <w:rFonts w:ascii="Arial" w:hAnsi="Arial" w:cs="Arial"/>
                <w:bCs/>
                <w:sz w:val="24"/>
                <w:szCs w:val="24"/>
              </w:rPr>
              <w:t>(CANH)</w:t>
            </w:r>
            <w:r w:rsidRPr="00A87AD8">
              <w:rPr>
                <w:rFonts w:ascii="Arial" w:hAnsi="Arial" w:cs="Arial"/>
                <w:bCs/>
                <w:sz w:val="24"/>
                <w:szCs w:val="24"/>
              </w:rPr>
              <w:t>.</w:t>
            </w:r>
          </w:p>
        </w:tc>
      </w:tr>
    </w:tbl>
    <w:p w14:paraId="6E0B2F84" w14:textId="0608C280" w:rsidR="004C5E06" w:rsidRDefault="004C5E06" w:rsidP="00A87AD8">
      <w:pPr>
        <w:rPr>
          <w:rFonts w:ascii="Arial" w:eastAsia="Arial" w:hAnsi="Arial" w:cs="Arial"/>
          <w:sz w:val="24"/>
          <w:szCs w:val="24"/>
        </w:rPr>
      </w:pPr>
    </w:p>
    <w:p w14:paraId="372555E5" w14:textId="5C08D4F9" w:rsidR="00DE4A24" w:rsidRPr="00A87AD8" w:rsidRDefault="00DE4A24" w:rsidP="00DE4A24">
      <w:pPr>
        <w:ind w:firstLine="720"/>
        <w:jc w:val="center"/>
        <w:rPr>
          <w:rFonts w:ascii="Arial" w:eastAsia="Calibri" w:hAnsi="Arial" w:cs="Arial"/>
          <w:color w:val="000000"/>
          <w:sz w:val="24"/>
          <w:szCs w:val="24"/>
          <w:lang w:val="en-US"/>
        </w:rPr>
      </w:pPr>
      <w:r w:rsidRPr="00A87AD8">
        <w:rPr>
          <w:rFonts w:ascii="Arial" w:eastAsia="Arial" w:hAnsi="Arial" w:cs="Arial"/>
          <w:b/>
          <w:color w:val="000000"/>
          <w:spacing w:val="1"/>
          <w:sz w:val="24"/>
          <w:szCs w:val="24"/>
          <w:lang w:val="en-US"/>
        </w:rPr>
        <w:t xml:space="preserve">Stage </w:t>
      </w:r>
      <w:r>
        <w:rPr>
          <w:rFonts w:ascii="Arial" w:eastAsia="Arial" w:hAnsi="Arial" w:cs="Arial"/>
          <w:b/>
          <w:color w:val="000000"/>
          <w:spacing w:val="1"/>
          <w:sz w:val="24"/>
          <w:szCs w:val="24"/>
          <w:lang w:val="en-US"/>
        </w:rPr>
        <w:t>3</w:t>
      </w:r>
      <w:r w:rsidRPr="00A87AD8">
        <w:rPr>
          <w:rFonts w:ascii="Arial" w:eastAsia="Arial" w:hAnsi="Arial" w:cs="Arial"/>
          <w:b/>
          <w:color w:val="000000"/>
          <w:spacing w:val="1"/>
          <w:sz w:val="24"/>
          <w:szCs w:val="24"/>
          <w:lang w:val="en-US"/>
        </w:rPr>
        <w:t>:</w:t>
      </w:r>
      <w:r>
        <w:rPr>
          <w:rFonts w:ascii="Arial" w:eastAsia="Arial" w:hAnsi="Arial" w:cs="Arial"/>
          <w:b/>
          <w:color w:val="000000"/>
          <w:spacing w:val="1"/>
          <w:sz w:val="24"/>
          <w:szCs w:val="24"/>
          <w:lang w:val="en-US"/>
        </w:rPr>
        <w:t xml:space="preserve"> Decision Making </w:t>
      </w:r>
    </w:p>
    <w:p w14:paraId="4F59619A" w14:textId="33023AAC" w:rsidR="00DE4A24" w:rsidRDefault="00DE4A24" w:rsidP="00A87AD8">
      <w:pPr>
        <w:rPr>
          <w:rFonts w:ascii="Arial" w:eastAsia="Arial" w:hAnsi="Arial" w:cs="Arial"/>
          <w:sz w:val="24"/>
          <w:szCs w:val="24"/>
        </w:rPr>
      </w:pPr>
    </w:p>
    <w:p w14:paraId="77919745" w14:textId="27653A83" w:rsidR="00DE4A24" w:rsidRDefault="00DE4A24" w:rsidP="00A87AD8">
      <w:pPr>
        <w:rPr>
          <w:rFonts w:ascii="Arial" w:eastAsia="Arial" w:hAnsi="Arial" w:cs="Arial"/>
          <w:sz w:val="24"/>
          <w:szCs w:val="24"/>
        </w:rPr>
      </w:pPr>
    </w:p>
    <w:p w14:paraId="71828496" w14:textId="77777777" w:rsidR="00DE4A24" w:rsidRPr="00A87AD8" w:rsidRDefault="00DE4A24" w:rsidP="00A87AD8">
      <w:pPr>
        <w:rPr>
          <w:rFonts w:ascii="Arial" w:eastAsia="Arial" w:hAnsi="Arial" w:cs="Arial"/>
          <w:sz w:val="24"/>
          <w:szCs w:val="24"/>
        </w:rPr>
      </w:pPr>
    </w:p>
    <w:tbl>
      <w:tblPr>
        <w:tblStyle w:val="TableGrid"/>
        <w:tblW w:w="0" w:type="auto"/>
        <w:tblInd w:w="715" w:type="dxa"/>
        <w:tblLook w:val="04A0" w:firstRow="1" w:lastRow="0" w:firstColumn="1" w:lastColumn="0" w:noHBand="0" w:noVBand="1"/>
      </w:tblPr>
      <w:tblGrid>
        <w:gridCol w:w="8301"/>
      </w:tblGrid>
      <w:tr w:rsidR="004C5E06" w:rsidRPr="00A87AD8" w14:paraId="7DFC9686" w14:textId="77777777" w:rsidTr="00626FFA">
        <w:tc>
          <w:tcPr>
            <w:tcW w:w="9021" w:type="dxa"/>
            <w:tcMar>
              <w:top w:w="115" w:type="dxa"/>
              <w:left w:w="288" w:type="dxa"/>
              <w:bottom w:w="115" w:type="dxa"/>
              <w:right w:w="288" w:type="dxa"/>
            </w:tcMar>
          </w:tcPr>
          <w:p w14:paraId="45DE58AC" w14:textId="2798D15A" w:rsidR="004C5E06" w:rsidRPr="00A87AD8" w:rsidRDefault="004C5E06" w:rsidP="00A87AD8">
            <w:pPr>
              <w:jc w:val="center"/>
              <w:rPr>
                <w:rFonts w:ascii="Arial" w:hAnsi="Arial" w:cs="Arial"/>
                <w:sz w:val="24"/>
                <w:szCs w:val="24"/>
              </w:rPr>
            </w:pPr>
            <w:r w:rsidRPr="00A87AD8">
              <w:rPr>
                <w:rFonts w:ascii="Arial" w:hAnsi="Arial" w:cs="Arial"/>
                <w:bCs/>
                <w:sz w:val="24"/>
                <w:szCs w:val="24"/>
                <w:lang w:val="en-US"/>
              </w:rPr>
              <w:t>Person with dysphagia has capacity and makes their decision to be nil by mouth with CAN</w:t>
            </w:r>
            <w:r w:rsidR="00D15077">
              <w:rPr>
                <w:rFonts w:ascii="Arial" w:hAnsi="Arial" w:cs="Arial"/>
                <w:bCs/>
                <w:sz w:val="24"/>
                <w:szCs w:val="24"/>
                <w:lang w:val="en-US"/>
              </w:rPr>
              <w:t>H</w:t>
            </w:r>
            <w:r w:rsidRPr="00A87AD8">
              <w:rPr>
                <w:rFonts w:ascii="Arial" w:hAnsi="Arial" w:cs="Arial"/>
                <w:bCs/>
                <w:sz w:val="24"/>
                <w:szCs w:val="24"/>
                <w:lang w:val="en-US"/>
              </w:rPr>
              <w:t xml:space="preserve"> or to eat and drink with acknowledged risks, or a combination of both.</w:t>
            </w:r>
          </w:p>
        </w:tc>
      </w:tr>
    </w:tbl>
    <w:p w14:paraId="5E277CED" w14:textId="77777777" w:rsidR="004C5E06" w:rsidRPr="00A87AD8" w:rsidRDefault="004C5E06"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92032" behindDoc="0" locked="0" layoutInCell="1" allowOverlap="1" wp14:anchorId="1677B06F" wp14:editId="08B85397">
                <wp:simplePos x="0" y="0"/>
                <wp:positionH relativeFrom="column">
                  <wp:posOffset>3203575</wp:posOffset>
                </wp:positionH>
                <wp:positionV relativeFrom="paragraph">
                  <wp:posOffset>-3810</wp:posOffset>
                </wp:positionV>
                <wp:extent cx="0" cy="1619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F4B911" id="Straight Arrow Connector 28" o:spid="_x0000_s1026" type="#_x0000_t32" style="position:absolute;margin-left:252.25pt;margin-top:-.3pt;width:0;height:1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4C5E06" w:rsidRPr="00A87AD8" w14:paraId="44644819" w14:textId="77777777" w:rsidTr="00626FFA">
        <w:tc>
          <w:tcPr>
            <w:tcW w:w="9021" w:type="dxa"/>
            <w:tcMar>
              <w:top w:w="115" w:type="dxa"/>
              <w:left w:w="288" w:type="dxa"/>
              <w:bottom w:w="115" w:type="dxa"/>
              <w:right w:w="288" w:type="dxa"/>
            </w:tcMar>
          </w:tcPr>
          <w:p w14:paraId="2BF07FD1" w14:textId="64EF5302" w:rsidR="004C5E06" w:rsidRPr="00A87AD8" w:rsidRDefault="004C5E06" w:rsidP="00A87AD8">
            <w:pPr>
              <w:jc w:val="center"/>
              <w:rPr>
                <w:rFonts w:ascii="Arial" w:hAnsi="Arial" w:cs="Arial"/>
                <w:sz w:val="24"/>
                <w:szCs w:val="24"/>
              </w:rPr>
            </w:pPr>
            <w:r w:rsidRPr="00A87AD8">
              <w:rPr>
                <w:rFonts w:ascii="Arial" w:hAnsi="Arial" w:cs="Arial"/>
                <w:bCs/>
                <w:sz w:val="24"/>
                <w:szCs w:val="24"/>
                <w:lang w:val="en-US"/>
              </w:rPr>
              <w:t>Person’s capacity to consent to these recommendations is assessed and documented.</w:t>
            </w:r>
          </w:p>
        </w:tc>
      </w:tr>
    </w:tbl>
    <w:p w14:paraId="562EB262" w14:textId="77ADDB9C" w:rsidR="004C5E06" w:rsidRPr="00DE4A24" w:rsidRDefault="00DE4A24" w:rsidP="00DE4A24">
      <w:pPr>
        <w:ind w:left="4320" w:firstLine="720"/>
        <w:rPr>
          <w:rFonts w:ascii="Arial" w:eastAsia="Arial" w:hAnsi="Arial" w:cs="Arial"/>
          <w:b/>
          <w:bCs/>
          <w:sz w:val="24"/>
          <w:szCs w:val="24"/>
        </w:rPr>
      </w:pPr>
      <w:r w:rsidRPr="00DE4A24">
        <w:rPr>
          <w:rFonts w:ascii="Arial" w:eastAsia="Arial" w:hAnsi="Arial" w:cs="Arial"/>
          <w:b/>
          <w:bCs/>
          <w:sz w:val="24"/>
          <w:szCs w:val="24"/>
        </w:rPr>
        <w:t>OR</w:t>
      </w:r>
    </w:p>
    <w:tbl>
      <w:tblPr>
        <w:tblStyle w:val="TableGrid"/>
        <w:tblW w:w="0" w:type="auto"/>
        <w:tblInd w:w="715" w:type="dxa"/>
        <w:tblLook w:val="04A0" w:firstRow="1" w:lastRow="0" w:firstColumn="1" w:lastColumn="0" w:noHBand="0" w:noVBand="1"/>
      </w:tblPr>
      <w:tblGrid>
        <w:gridCol w:w="8301"/>
      </w:tblGrid>
      <w:tr w:rsidR="004C5E06" w:rsidRPr="00A87AD8" w14:paraId="7FB00361" w14:textId="77777777" w:rsidTr="00DE4A24">
        <w:tc>
          <w:tcPr>
            <w:tcW w:w="8301" w:type="dxa"/>
            <w:tcMar>
              <w:top w:w="115" w:type="dxa"/>
              <w:left w:w="288" w:type="dxa"/>
              <w:bottom w:w="115" w:type="dxa"/>
              <w:right w:w="288" w:type="dxa"/>
            </w:tcMar>
          </w:tcPr>
          <w:p w14:paraId="587E487F" w14:textId="28B658EB" w:rsidR="004C5E06" w:rsidRPr="00A87AD8" w:rsidRDefault="004C5E06" w:rsidP="00A87AD8">
            <w:pPr>
              <w:jc w:val="center"/>
              <w:rPr>
                <w:rFonts w:ascii="Arial" w:hAnsi="Arial" w:cs="Arial"/>
                <w:sz w:val="24"/>
                <w:szCs w:val="24"/>
              </w:rPr>
            </w:pPr>
            <w:r w:rsidRPr="00A87AD8">
              <w:rPr>
                <w:rFonts w:ascii="Arial" w:hAnsi="Arial" w:cs="Arial"/>
                <w:sz w:val="24"/>
                <w:szCs w:val="24"/>
                <w:lang w:val="en-US"/>
              </w:rPr>
              <w:lastRenderedPageBreak/>
              <w:t xml:space="preserve">The patient lacks capacity, but a best interests MDT discussion has taken place that has concluded that </w:t>
            </w:r>
            <w:r w:rsidR="00DE4A24">
              <w:rPr>
                <w:rFonts w:ascii="Arial" w:hAnsi="Arial" w:cs="Arial"/>
                <w:sz w:val="24"/>
                <w:szCs w:val="24"/>
                <w:lang w:val="en-US"/>
              </w:rPr>
              <w:t>t</w:t>
            </w:r>
            <w:r w:rsidRPr="00A87AD8">
              <w:rPr>
                <w:rFonts w:ascii="Arial" w:hAnsi="Arial" w:cs="Arial"/>
                <w:sz w:val="24"/>
                <w:szCs w:val="24"/>
                <w:lang w:val="en-US"/>
              </w:rPr>
              <w:t xml:space="preserve">he </w:t>
            </w:r>
            <w:r w:rsidR="00DE4A24">
              <w:rPr>
                <w:rFonts w:ascii="Arial" w:hAnsi="Arial" w:cs="Arial"/>
                <w:sz w:val="24"/>
                <w:szCs w:val="24"/>
                <w:lang w:val="en-US"/>
              </w:rPr>
              <w:t xml:space="preserve">person will be nil by mouth with CAHN </w:t>
            </w:r>
            <w:r w:rsidRPr="00A87AD8">
              <w:rPr>
                <w:rFonts w:ascii="Arial" w:hAnsi="Arial" w:cs="Arial"/>
                <w:sz w:val="24"/>
                <w:szCs w:val="24"/>
                <w:lang w:val="en-US"/>
              </w:rPr>
              <w:t xml:space="preserve">or </w:t>
            </w:r>
            <w:r w:rsidR="00DE4A24">
              <w:rPr>
                <w:rFonts w:ascii="Arial" w:hAnsi="Arial" w:cs="Arial"/>
                <w:sz w:val="24"/>
                <w:szCs w:val="24"/>
                <w:lang w:val="en-US"/>
              </w:rPr>
              <w:t xml:space="preserve">they </w:t>
            </w:r>
            <w:r w:rsidRPr="00A87AD8">
              <w:rPr>
                <w:rFonts w:ascii="Arial" w:hAnsi="Arial" w:cs="Arial"/>
                <w:sz w:val="24"/>
                <w:szCs w:val="24"/>
                <w:lang w:val="en-US"/>
              </w:rPr>
              <w:t>should eat and drink with acknowledged risk</w:t>
            </w:r>
            <w:r w:rsidR="00DE4A24">
              <w:rPr>
                <w:rFonts w:ascii="Arial" w:hAnsi="Arial" w:cs="Arial"/>
                <w:sz w:val="24"/>
                <w:szCs w:val="24"/>
                <w:lang w:val="en-US"/>
              </w:rPr>
              <w:t>s</w:t>
            </w:r>
          </w:p>
        </w:tc>
      </w:tr>
    </w:tbl>
    <w:p w14:paraId="1E7E98E0" w14:textId="66F4C684" w:rsidR="004C5E06" w:rsidRPr="00A87AD8" w:rsidRDefault="00561480" w:rsidP="00A87AD8">
      <w:pPr>
        <w:rPr>
          <w:rFonts w:ascii="Arial" w:eastAsia="Arial" w:hAnsi="Arial" w:cs="Arial"/>
          <w:sz w:val="24"/>
          <w:szCs w:val="24"/>
        </w:rPr>
      </w:pPr>
      <w:r w:rsidRPr="00561480">
        <w:rPr>
          <w:rFonts w:ascii="Arial" w:eastAsia="Arial" w:hAnsi="Arial" w:cs="Arial"/>
          <w:noProof/>
          <w:sz w:val="24"/>
          <w:szCs w:val="24"/>
        </w:rPr>
        <mc:AlternateContent>
          <mc:Choice Requires="wps">
            <w:drawing>
              <wp:anchor distT="45720" distB="45720" distL="114300" distR="114300" simplePos="0" relativeHeight="251700224" behindDoc="0" locked="0" layoutInCell="1" allowOverlap="1" wp14:anchorId="32024108" wp14:editId="5F1FA725">
                <wp:simplePos x="0" y="0"/>
                <wp:positionH relativeFrom="margin">
                  <wp:posOffset>501650</wp:posOffset>
                </wp:positionH>
                <wp:positionV relativeFrom="paragraph">
                  <wp:posOffset>356870</wp:posOffset>
                </wp:positionV>
                <wp:extent cx="5194300" cy="463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463550"/>
                        </a:xfrm>
                        <a:prstGeom prst="rect">
                          <a:avLst/>
                        </a:prstGeom>
                        <a:solidFill>
                          <a:srgbClr val="FFFFFF"/>
                        </a:solidFill>
                        <a:ln w="9525">
                          <a:solidFill>
                            <a:srgbClr val="000000"/>
                          </a:solidFill>
                          <a:miter lim="800000"/>
                          <a:headEnd/>
                          <a:tailEnd/>
                        </a:ln>
                      </wps:spPr>
                      <wps:txbx>
                        <w:txbxContent>
                          <w:p w14:paraId="2606CD84" w14:textId="54CD15C9" w:rsidR="00561480" w:rsidRPr="00561480" w:rsidRDefault="00561480">
                            <w:pPr>
                              <w:rPr>
                                <w:rFonts w:ascii="Arial" w:hAnsi="Arial" w:cs="Arial"/>
                                <w:sz w:val="24"/>
                                <w:szCs w:val="24"/>
                              </w:rPr>
                            </w:pPr>
                            <w:r w:rsidRPr="00561480">
                              <w:rPr>
                                <w:rFonts w:ascii="Arial" w:hAnsi="Arial" w:cs="Arial"/>
                                <w:sz w:val="24"/>
                                <w:szCs w:val="24"/>
                              </w:rPr>
                              <w:t>All decisions to be fully documented in person’s records</w:t>
                            </w:r>
                            <w:r>
                              <w:rPr>
                                <w:rFonts w:ascii="Arial" w:hAnsi="Arial" w:cs="Arial"/>
                                <w:sz w:val="24"/>
                                <w:szCs w:val="24"/>
                              </w:rPr>
                              <w:t xml:space="preserve">, and fully communicated with relevant family, </w:t>
                            </w:r>
                            <w:proofErr w:type="gramStart"/>
                            <w:r>
                              <w:rPr>
                                <w:rFonts w:ascii="Arial" w:hAnsi="Arial" w:cs="Arial"/>
                                <w:sz w:val="24"/>
                                <w:szCs w:val="24"/>
                              </w:rPr>
                              <w:t>carers</w:t>
                            </w:r>
                            <w:proofErr w:type="gramEnd"/>
                            <w:r>
                              <w:rPr>
                                <w:rFonts w:ascii="Arial" w:hAnsi="Arial" w:cs="Arial"/>
                                <w:sz w:val="24"/>
                                <w:szCs w:val="24"/>
                              </w:rPr>
                              <w:t xml:space="preserve"> and health professionals.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24108" id="_x0000_t202" coordsize="21600,21600" o:spt="202" path="m,l,21600r21600,l21600,xe">
                <v:stroke joinstyle="miter"/>
                <v:path gradientshapeok="t" o:connecttype="rect"/>
              </v:shapetype>
              <v:shape id="Text Box 2" o:spid="_x0000_s1026" type="#_x0000_t202" style="position:absolute;margin-left:39.5pt;margin-top:28.1pt;width:409pt;height:36.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">
                <v:textbox>
                  <w:txbxContent>
                    <w:p w14:paraId="2606CD84" w14:textId="54CD15C9" w:rsidR="00561480" w:rsidRPr="00561480" w:rsidRDefault="00561480">
                      <w:pPr>
                        <w:rPr>
                          <w:rFonts w:ascii="Arial" w:hAnsi="Arial" w:cs="Arial"/>
                          <w:sz w:val="24"/>
                          <w:szCs w:val="24"/>
                        </w:rPr>
                      </w:pPr>
                      <w:r w:rsidRPr="00561480">
                        <w:rPr>
                          <w:rFonts w:ascii="Arial" w:hAnsi="Arial" w:cs="Arial"/>
                          <w:sz w:val="24"/>
                          <w:szCs w:val="24"/>
                        </w:rPr>
                        <w:t>All decisions to be fully documented in person’s records</w:t>
                      </w:r>
                      <w:r>
                        <w:rPr>
                          <w:rFonts w:ascii="Arial" w:hAnsi="Arial" w:cs="Arial"/>
                          <w:sz w:val="24"/>
                          <w:szCs w:val="24"/>
                        </w:rPr>
                        <w:t xml:space="preserve">, and fully communicated with relevant family, </w:t>
                      </w:r>
                      <w:proofErr w:type="gramStart"/>
                      <w:r>
                        <w:rPr>
                          <w:rFonts w:ascii="Arial" w:hAnsi="Arial" w:cs="Arial"/>
                          <w:sz w:val="24"/>
                          <w:szCs w:val="24"/>
                        </w:rPr>
                        <w:t>carers</w:t>
                      </w:r>
                      <w:proofErr w:type="gramEnd"/>
                      <w:r>
                        <w:rPr>
                          <w:rFonts w:ascii="Arial" w:hAnsi="Arial" w:cs="Arial"/>
                          <w:sz w:val="24"/>
                          <w:szCs w:val="24"/>
                        </w:rPr>
                        <w:t xml:space="preserve"> and health professionals.</w:t>
                      </w:r>
                    </w:p>
                  </w:txbxContent>
                </v:textbox>
                <w10:wrap type="square" anchorx="margin"/>
              </v:shape>
            </w:pict>
          </mc:Fallback>
        </mc:AlternateContent>
      </w:r>
      <w:r w:rsidR="00DE4A24" w:rsidRPr="00A87AD8">
        <w:rPr>
          <w:rFonts w:ascii="Arial" w:eastAsia="Arial" w:hAnsi="Arial" w:cs="Arial"/>
          <w:noProof/>
          <w:sz w:val="24"/>
          <w:szCs w:val="24"/>
        </w:rPr>
        <mc:AlternateContent>
          <mc:Choice Requires="wps">
            <w:drawing>
              <wp:anchor distT="0" distB="0" distL="114300" distR="114300" simplePos="0" relativeHeight="251698176" behindDoc="0" locked="0" layoutInCell="1" allowOverlap="1" wp14:anchorId="11C4BE8B" wp14:editId="127AA6F1">
                <wp:simplePos x="0" y="0"/>
                <wp:positionH relativeFrom="column">
                  <wp:posOffset>3110231</wp:posOffset>
                </wp:positionH>
                <wp:positionV relativeFrom="paragraph">
                  <wp:posOffset>64770</wp:posOffset>
                </wp:positionV>
                <wp:extent cx="45719" cy="228600"/>
                <wp:effectExtent l="57150" t="0" r="50165" b="57150"/>
                <wp:wrapNone/>
                <wp:docPr id="1" name="Straight Arrow Connector 1"/>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B7BAE5" id="_x0000_t32" coordsize="21600,21600" o:spt="32" o:oned="t" path="m,l21600,21600e" filled="f">
                <v:path arrowok="t" fillok="f" o:connecttype="none"/>
                <o:lock v:ext="edit" shapetype="t"/>
              </v:shapetype>
              <v:shape id="Straight Arrow Connector 1" o:spid="_x0000_s1026" type="#_x0000_t32" style="position:absolute;margin-left:244.9pt;margin-top:5.1pt;width:3.6pt;height:18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" strokecolor="#4a7ebb">
                <v:stroke endarrow="block"/>
              </v:shape>
            </w:pict>
          </mc:Fallback>
        </mc:AlternateContent>
      </w:r>
    </w:p>
    <w:p w14:paraId="75A1DFF8" w14:textId="1070A11D" w:rsidR="00561480" w:rsidRDefault="00561480" w:rsidP="001C4B4E">
      <w:pPr>
        <w:tabs>
          <w:tab w:val="left" w:pos="5770"/>
        </w:tabs>
        <w:rPr>
          <w:rFonts w:ascii="Arial" w:eastAsia="Arial" w:hAnsi="Arial" w:cs="Arial"/>
          <w:sz w:val="24"/>
          <w:szCs w:val="24"/>
        </w:rPr>
      </w:pPr>
    </w:p>
    <w:p w14:paraId="4BE19347" w14:textId="77777777" w:rsidR="001C4B4E" w:rsidRPr="001C4B4E" w:rsidRDefault="001C4B4E" w:rsidP="001C4B4E">
      <w:pPr>
        <w:tabs>
          <w:tab w:val="left" w:pos="5770"/>
        </w:tabs>
        <w:rPr>
          <w:rFonts w:ascii="Arial" w:eastAsia="Arial" w:hAnsi="Arial" w:cs="Arial"/>
          <w:sz w:val="24"/>
          <w:szCs w:val="24"/>
        </w:rPr>
      </w:pPr>
    </w:p>
    <w:p w14:paraId="2B0F67F7" w14:textId="77777777" w:rsidR="00561480" w:rsidRDefault="00561480" w:rsidP="00A87AD8">
      <w:pPr>
        <w:jc w:val="center"/>
        <w:rPr>
          <w:rFonts w:ascii="Arial" w:eastAsia="Arial" w:hAnsi="Arial" w:cs="Arial"/>
          <w:b/>
          <w:color w:val="000000"/>
          <w:spacing w:val="1"/>
          <w:sz w:val="24"/>
          <w:szCs w:val="24"/>
          <w:lang w:val="en-US"/>
        </w:rPr>
      </w:pPr>
    </w:p>
    <w:p w14:paraId="66F7DFD3" w14:textId="77777777" w:rsidR="00561480" w:rsidRDefault="00561480" w:rsidP="00A87AD8">
      <w:pPr>
        <w:jc w:val="center"/>
        <w:rPr>
          <w:rFonts w:ascii="Arial" w:eastAsia="Arial" w:hAnsi="Arial" w:cs="Arial"/>
          <w:b/>
          <w:color w:val="000000"/>
          <w:spacing w:val="1"/>
          <w:sz w:val="24"/>
          <w:szCs w:val="24"/>
          <w:lang w:val="en-US"/>
        </w:rPr>
      </w:pPr>
    </w:p>
    <w:p w14:paraId="520CCC42" w14:textId="77777777" w:rsidR="00561480" w:rsidRDefault="00561480" w:rsidP="00A87AD8">
      <w:pPr>
        <w:jc w:val="center"/>
        <w:rPr>
          <w:rFonts w:ascii="Arial" w:eastAsia="Arial" w:hAnsi="Arial" w:cs="Arial"/>
          <w:b/>
          <w:color w:val="000000"/>
          <w:spacing w:val="1"/>
          <w:sz w:val="24"/>
          <w:szCs w:val="24"/>
          <w:lang w:val="en-US"/>
        </w:rPr>
      </w:pPr>
    </w:p>
    <w:p w14:paraId="77C56D46" w14:textId="4E529AE3" w:rsidR="00A32C67" w:rsidRPr="00A87AD8" w:rsidRDefault="00A32C67" w:rsidP="00A87AD8">
      <w:pPr>
        <w:jc w:val="center"/>
        <w:rPr>
          <w:rFonts w:ascii="Arial" w:eastAsia="Arial" w:hAnsi="Arial" w:cs="Arial"/>
          <w:b/>
          <w:color w:val="000000"/>
          <w:spacing w:val="1"/>
          <w:sz w:val="24"/>
          <w:szCs w:val="24"/>
          <w:lang w:val="en-US"/>
        </w:rPr>
      </w:pPr>
      <w:r w:rsidRPr="00A87AD8">
        <w:rPr>
          <w:rFonts w:ascii="Arial" w:eastAsia="Arial" w:hAnsi="Arial" w:cs="Arial"/>
          <w:b/>
          <w:color w:val="000000"/>
          <w:spacing w:val="1"/>
          <w:sz w:val="24"/>
          <w:szCs w:val="24"/>
          <w:lang w:val="en-US"/>
        </w:rPr>
        <w:t xml:space="preserve">Stage </w:t>
      </w:r>
      <w:r w:rsidR="00DE4A24">
        <w:rPr>
          <w:rFonts w:ascii="Arial" w:eastAsia="Arial" w:hAnsi="Arial" w:cs="Arial"/>
          <w:b/>
          <w:color w:val="000000"/>
          <w:spacing w:val="1"/>
          <w:sz w:val="24"/>
          <w:szCs w:val="24"/>
          <w:lang w:val="en-US"/>
        </w:rPr>
        <w:t>4</w:t>
      </w:r>
      <w:r w:rsidRPr="00A87AD8">
        <w:rPr>
          <w:rFonts w:ascii="Arial" w:eastAsia="Arial" w:hAnsi="Arial" w:cs="Arial"/>
          <w:b/>
          <w:color w:val="000000"/>
          <w:spacing w:val="1"/>
          <w:sz w:val="24"/>
          <w:szCs w:val="24"/>
          <w:lang w:val="en-US"/>
        </w:rPr>
        <w:t>: Implementation and Communication</w:t>
      </w:r>
    </w:p>
    <w:p w14:paraId="07B3E056" w14:textId="6BFE0F23" w:rsidR="00A32C67" w:rsidRPr="00A87AD8" w:rsidRDefault="00A32C67" w:rsidP="00A87AD8">
      <w:pPr>
        <w:jc w:val="center"/>
        <w:rPr>
          <w:rFonts w:ascii="Arial" w:eastAsia="Arial" w:hAnsi="Arial" w:cs="Arial"/>
          <w:iCs/>
          <w:sz w:val="24"/>
          <w:szCs w:val="24"/>
        </w:rPr>
      </w:pPr>
    </w:p>
    <w:p w14:paraId="45E02CBE" w14:textId="67FCBAD9" w:rsidR="00A32C67" w:rsidRPr="00A87AD8" w:rsidRDefault="00A32C67" w:rsidP="00A87AD8">
      <w:pPr>
        <w:rPr>
          <w:rFonts w:ascii="Arial" w:eastAsia="Arial" w:hAnsi="Arial" w:cs="Arial"/>
          <w:sz w:val="24"/>
          <w:szCs w:val="24"/>
        </w:rPr>
      </w:pPr>
    </w:p>
    <w:tbl>
      <w:tblPr>
        <w:tblStyle w:val="TableGrid"/>
        <w:tblW w:w="0" w:type="auto"/>
        <w:tblInd w:w="715" w:type="dxa"/>
        <w:tblLook w:val="04A0" w:firstRow="1" w:lastRow="0" w:firstColumn="1" w:lastColumn="0" w:noHBand="0" w:noVBand="1"/>
      </w:tblPr>
      <w:tblGrid>
        <w:gridCol w:w="8301"/>
      </w:tblGrid>
      <w:tr w:rsidR="00A32C67" w:rsidRPr="00A87AD8" w14:paraId="4C400CF1" w14:textId="77777777" w:rsidTr="00626FFA">
        <w:tc>
          <w:tcPr>
            <w:tcW w:w="9021" w:type="dxa"/>
            <w:tcMar>
              <w:top w:w="115" w:type="dxa"/>
              <w:left w:w="288" w:type="dxa"/>
              <w:bottom w:w="115" w:type="dxa"/>
              <w:right w:w="288" w:type="dxa"/>
            </w:tcMar>
          </w:tcPr>
          <w:p w14:paraId="44214AD1" w14:textId="1C965547" w:rsidR="00A32C67" w:rsidRPr="00A87AD8" w:rsidRDefault="00A32C67" w:rsidP="00A87AD8">
            <w:pPr>
              <w:jc w:val="center"/>
              <w:rPr>
                <w:rFonts w:ascii="Arial" w:hAnsi="Arial" w:cs="Arial"/>
                <w:sz w:val="24"/>
                <w:szCs w:val="24"/>
              </w:rPr>
            </w:pPr>
            <w:r w:rsidRPr="00A87AD8">
              <w:rPr>
                <w:rFonts w:ascii="Arial" w:hAnsi="Arial" w:cs="Arial"/>
                <w:bCs/>
                <w:sz w:val="24"/>
                <w:szCs w:val="24"/>
                <w:lang w:val="en-US"/>
              </w:rPr>
              <w:t xml:space="preserve">Document agreed recommendations and strategies to support oral intake with acknowledged risk.  If SLT </w:t>
            </w:r>
            <w:r w:rsidR="00952DFC" w:rsidRPr="00A87AD8">
              <w:rPr>
                <w:rFonts w:ascii="Arial" w:hAnsi="Arial" w:cs="Arial"/>
                <w:bCs/>
                <w:sz w:val="24"/>
                <w:szCs w:val="24"/>
                <w:lang w:val="en-US"/>
              </w:rPr>
              <w:t>involved,</w:t>
            </w:r>
            <w:r w:rsidRPr="00A87AD8">
              <w:rPr>
                <w:rFonts w:ascii="Arial" w:hAnsi="Arial" w:cs="Arial"/>
                <w:bCs/>
                <w:sz w:val="24"/>
                <w:szCs w:val="24"/>
                <w:lang w:val="en-US"/>
              </w:rPr>
              <w:t xml:space="preserve"> they will produce a written eating and drinking with risk care plan.  </w:t>
            </w:r>
            <w:r w:rsidR="00561480">
              <w:rPr>
                <w:rFonts w:ascii="Arial" w:hAnsi="Arial" w:cs="Arial"/>
                <w:bCs/>
                <w:sz w:val="24"/>
                <w:szCs w:val="24"/>
                <w:lang w:val="en-US"/>
              </w:rPr>
              <w:t>M</w:t>
            </w:r>
            <w:r w:rsidRPr="00A87AD8">
              <w:rPr>
                <w:rFonts w:ascii="Arial" w:hAnsi="Arial" w:cs="Arial"/>
                <w:sz w:val="24"/>
                <w:szCs w:val="24"/>
                <w:lang w:val="en-US"/>
              </w:rPr>
              <w:t xml:space="preserve">edical team </w:t>
            </w:r>
            <w:r w:rsidR="00561480">
              <w:rPr>
                <w:rFonts w:ascii="Arial" w:hAnsi="Arial" w:cs="Arial"/>
                <w:sz w:val="24"/>
                <w:szCs w:val="24"/>
                <w:lang w:val="en-US"/>
              </w:rPr>
              <w:t xml:space="preserve">or GP </w:t>
            </w:r>
            <w:r w:rsidRPr="00A87AD8">
              <w:rPr>
                <w:rFonts w:ascii="Arial" w:hAnsi="Arial" w:cs="Arial"/>
                <w:sz w:val="24"/>
                <w:szCs w:val="24"/>
                <w:lang w:val="en-US"/>
              </w:rPr>
              <w:t xml:space="preserve">to document suggested management strategies in the event of deterioration, </w:t>
            </w:r>
            <w:proofErr w:type="gramStart"/>
            <w:r w:rsidRPr="00A87AD8">
              <w:rPr>
                <w:rFonts w:ascii="Arial" w:hAnsi="Arial" w:cs="Arial"/>
                <w:sz w:val="24"/>
                <w:szCs w:val="24"/>
                <w:lang w:val="en-US"/>
              </w:rPr>
              <w:t>e.g.</w:t>
            </w:r>
            <w:proofErr w:type="gramEnd"/>
            <w:r w:rsidRPr="00A87AD8">
              <w:rPr>
                <w:rFonts w:ascii="Arial" w:hAnsi="Arial" w:cs="Arial"/>
                <w:sz w:val="24"/>
                <w:szCs w:val="24"/>
                <w:lang w:val="en-US"/>
              </w:rPr>
              <w:t xml:space="preserve"> chest physiotherapy; parenteral fluids; antibiotics; symptom control measures.</w:t>
            </w:r>
          </w:p>
        </w:tc>
      </w:tr>
    </w:tbl>
    <w:p w14:paraId="503D4B4C" w14:textId="77777777" w:rsidR="00A32C67" w:rsidRPr="00A87AD8" w:rsidRDefault="00A32C67" w:rsidP="00A87AD8">
      <w:pPr>
        <w:rPr>
          <w:rFonts w:ascii="Arial" w:eastAsia="Arial" w:hAnsi="Arial" w:cs="Arial"/>
          <w:sz w:val="24"/>
          <w:szCs w:val="24"/>
        </w:rPr>
      </w:pPr>
      <w:r w:rsidRPr="00A87AD8">
        <w:rPr>
          <w:rFonts w:ascii="Arial" w:eastAsia="Arial" w:hAnsi="Arial" w:cs="Arial"/>
          <w:noProof/>
          <w:sz w:val="24"/>
          <w:szCs w:val="24"/>
        </w:rPr>
        <mc:AlternateContent>
          <mc:Choice Requires="wps">
            <w:drawing>
              <wp:anchor distT="0" distB="0" distL="114300" distR="114300" simplePos="0" relativeHeight="251696128" behindDoc="0" locked="0" layoutInCell="1" allowOverlap="1" wp14:anchorId="588B371A" wp14:editId="6FCDC645">
                <wp:simplePos x="0" y="0"/>
                <wp:positionH relativeFrom="column">
                  <wp:posOffset>3203575</wp:posOffset>
                </wp:positionH>
                <wp:positionV relativeFrom="paragraph">
                  <wp:posOffset>-3810</wp:posOffset>
                </wp:positionV>
                <wp:extent cx="0" cy="16192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9954FF" id="Straight Arrow Connector 9" o:spid="_x0000_s1026" type="#_x0000_t32" style="position:absolute;margin-left:252.25pt;margin-top:-.3pt;width:0;height:12.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" strokecolor="#4579b8 [3044]">
                <v:stroke endarrow="block"/>
              </v:shape>
            </w:pict>
          </mc:Fallback>
        </mc:AlternateContent>
      </w:r>
    </w:p>
    <w:tbl>
      <w:tblPr>
        <w:tblStyle w:val="TableGrid"/>
        <w:tblW w:w="0" w:type="auto"/>
        <w:tblInd w:w="715" w:type="dxa"/>
        <w:tblLook w:val="04A0" w:firstRow="1" w:lastRow="0" w:firstColumn="1" w:lastColumn="0" w:noHBand="0" w:noVBand="1"/>
      </w:tblPr>
      <w:tblGrid>
        <w:gridCol w:w="8301"/>
      </w:tblGrid>
      <w:tr w:rsidR="00A32C67" w:rsidRPr="00A87AD8" w14:paraId="42732E33" w14:textId="77777777" w:rsidTr="00626FFA">
        <w:tc>
          <w:tcPr>
            <w:tcW w:w="9021" w:type="dxa"/>
            <w:tcMar>
              <w:top w:w="115" w:type="dxa"/>
              <w:left w:w="288" w:type="dxa"/>
              <w:bottom w:w="115" w:type="dxa"/>
              <w:right w:w="288" w:type="dxa"/>
            </w:tcMar>
          </w:tcPr>
          <w:p w14:paraId="5A7E82F7" w14:textId="128FBB33" w:rsidR="00A32C67" w:rsidRPr="00A87AD8" w:rsidRDefault="00A32C67" w:rsidP="00A87AD8">
            <w:pPr>
              <w:jc w:val="center"/>
              <w:rPr>
                <w:rFonts w:ascii="Arial" w:hAnsi="Arial" w:cs="Arial"/>
                <w:sz w:val="24"/>
                <w:szCs w:val="24"/>
              </w:rPr>
            </w:pPr>
            <w:r w:rsidRPr="00A87AD8">
              <w:rPr>
                <w:rFonts w:ascii="Arial" w:hAnsi="Arial" w:cs="Arial"/>
                <w:bCs/>
                <w:sz w:val="24"/>
                <w:szCs w:val="24"/>
                <w:lang w:val="en-US"/>
              </w:rPr>
              <w:t>Whoever is involved in the process needs to ensure the plan is communicated with all relevant health professionals across community and acute based care.</w:t>
            </w:r>
          </w:p>
        </w:tc>
      </w:tr>
      <w:bookmarkEnd w:id="0"/>
    </w:tbl>
    <w:p w14:paraId="32F8C283" w14:textId="29C3DDC8" w:rsidR="00986818" w:rsidRPr="00A87AD8" w:rsidRDefault="00986818" w:rsidP="00A87AD8">
      <w:pPr>
        <w:jc w:val="center"/>
        <w:rPr>
          <w:rFonts w:ascii="Arial" w:eastAsia="Arial" w:hAnsi="Arial" w:cs="Arial"/>
          <w:b/>
          <w:color w:val="000000"/>
          <w:sz w:val="24"/>
          <w:szCs w:val="24"/>
          <w:lang w:val="en-US"/>
        </w:rPr>
      </w:pPr>
    </w:p>
    <w:p w14:paraId="03878688" w14:textId="77777777" w:rsidR="00986818" w:rsidRPr="00A87AD8" w:rsidRDefault="00986818" w:rsidP="00A87AD8">
      <w:pPr>
        <w:ind w:left="720" w:hanging="720"/>
        <w:rPr>
          <w:rFonts w:ascii="Arial" w:eastAsia="Times New Roman" w:hAnsi="Arial" w:cs="Arial"/>
          <w:b/>
          <w:bCs/>
          <w:color w:val="0070C0"/>
          <w:sz w:val="24"/>
          <w:szCs w:val="24"/>
        </w:rPr>
      </w:pPr>
    </w:p>
    <w:p w14:paraId="7929891B" w14:textId="4EF077E4" w:rsidR="00080EF1" w:rsidRPr="00A87AD8" w:rsidRDefault="00080EF1" w:rsidP="00A87AD8">
      <w:pPr>
        <w:ind w:left="720" w:hanging="720"/>
        <w:rPr>
          <w:rFonts w:ascii="Arial" w:eastAsia="Arial" w:hAnsi="Arial" w:cs="Arial"/>
          <w:color w:val="0070C0"/>
          <w:sz w:val="24"/>
          <w:szCs w:val="24"/>
        </w:rPr>
      </w:pPr>
      <w:r w:rsidRPr="00A87AD8">
        <w:rPr>
          <w:rFonts w:ascii="Arial" w:eastAsia="Times New Roman" w:hAnsi="Arial" w:cs="Arial"/>
          <w:b/>
          <w:bCs/>
          <w:color w:val="0070C0"/>
          <w:sz w:val="24"/>
          <w:szCs w:val="24"/>
        </w:rPr>
        <w:t xml:space="preserve">2.0 </w:t>
      </w:r>
      <w:r w:rsidRPr="00A87AD8">
        <w:rPr>
          <w:rFonts w:ascii="Arial" w:eastAsia="Times New Roman" w:hAnsi="Arial" w:cs="Arial"/>
          <w:b/>
          <w:bCs/>
          <w:color w:val="0070C0"/>
          <w:sz w:val="24"/>
          <w:szCs w:val="24"/>
        </w:rPr>
        <w:tab/>
        <w:t>INTRODUCTION</w:t>
      </w:r>
      <w:r w:rsidRPr="00A87AD8">
        <w:rPr>
          <w:rFonts w:ascii="Arial" w:eastAsia="Arial" w:hAnsi="Arial" w:cs="Arial"/>
          <w:color w:val="0070C0"/>
          <w:sz w:val="24"/>
          <w:szCs w:val="24"/>
        </w:rPr>
        <w:t xml:space="preserve"> </w:t>
      </w:r>
    </w:p>
    <w:p w14:paraId="7A34455C" w14:textId="4255CAF7" w:rsidR="004C5E06" w:rsidRPr="00A87AD8" w:rsidRDefault="004C5E06" w:rsidP="00A87AD8">
      <w:pPr>
        <w:ind w:left="720" w:hanging="720"/>
        <w:rPr>
          <w:rFonts w:ascii="Arial" w:eastAsia="Arial" w:hAnsi="Arial" w:cs="Arial"/>
          <w:color w:val="0070C0"/>
          <w:sz w:val="24"/>
          <w:szCs w:val="24"/>
        </w:rPr>
      </w:pPr>
    </w:p>
    <w:p w14:paraId="1FC8FC7F" w14:textId="0072D2E7" w:rsidR="00A32C67" w:rsidRPr="00A87AD8" w:rsidRDefault="002E5644" w:rsidP="00E24BBA">
      <w:pPr>
        <w:ind w:left="720" w:hanging="720"/>
        <w:rPr>
          <w:rFonts w:ascii="Arial" w:eastAsia="Arial" w:hAnsi="Arial" w:cs="Arial"/>
          <w:b/>
          <w:iCs/>
          <w:sz w:val="24"/>
          <w:szCs w:val="24"/>
        </w:rPr>
      </w:pPr>
      <w:r w:rsidRPr="00A87AD8">
        <w:rPr>
          <w:rFonts w:ascii="Arial" w:eastAsia="Arial" w:hAnsi="Arial" w:cs="Arial"/>
          <w:bCs/>
          <w:iCs/>
          <w:sz w:val="24"/>
          <w:szCs w:val="24"/>
        </w:rPr>
        <w:t>2.1</w:t>
      </w:r>
      <w:r w:rsidRPr="00A87AD8">
        <w:rPr>
          <w:rFonts w:ascii="Arial" w:eastAsia="Arial" w:hAnsi="Arial" w:cs="Arial"/>
          <w:b/>
          <w:iCs/>
          <w:sz w:val="24"/>
          <w:szCs w:val="24"/>
        </w:rPr>
        <w:tab/>
      </w:r>
      <w:r w:rsidR="00A32C67" w:rsidRPr="00A87AD8">
        <w:rPr>
          <w:rFonts w:ascii="Arial" w:eastAsia="Arial" w:hAnsi="Arial" w:cs="Arial"/>
          <w:bCs/>
          <w:iCs/>
          <w:sz w:val="24"/>
          <w:szCs w:val="24"/>
        </w:rPr>
        <w:t xml:space="preserve">Oropharyngeal dysphagia can affect people of all ages, genders, race, economic </w:t>
      </w:r>
      <w:proofErr w:type="gramStart"/>
      <w:r w:rsidR="00A32C67" w:rsidRPr="00A87AD8">
        <w:rPr>
          <w:rFonts w:ascii="Arial" w:eastAsia="Arial" w:hAnsi="Arial" w:cs="Arial"/>
          <w:bCs/>
          <w:iCs/>
          <w:sz w:val="24"/>
          <w:szCs w:val="24"/>
        </w:rPr>
        <w:t>backgrounds</w:t>
      </w:r>
      <w:proofErr w:type="gramEnd"/>
      <w:r w:rsidR="00A32C67" w:rsidRPr="00A87AD8">
        <w:rPr>
          <w:rFonts w:ascii="Arial" w:eastAsia="Arial" w:hAnsi="Arial" w:cs="Arial"/>
          <w:bCs/>
          <w:iCs/>
          <w:sz w:val="24"/>
          <w:szCs w:val="24"/>
        </w:rPr>
        <w:t xml:space="preserve"> and protected groups.  This guidance document is intended to ensure that people with oropharyngeal dysphagia who are at risk from continuing to eat and drink orally are treated equitably with due regard to Best Practice as outlined within this guidance document. </w:t>
      </w:r>
    </w:p>
    <w:p w14:paraId="705838F9" w14:textId="77777777" w:rsidR="004C5E06" w:rsidRPr="00A87AD8" w:rsidRDefault="004C5E06" w:rsidP="00A87AD8">
      <w:pPr>
        <w:ind w:left="720" w:hanging="720"/>
        <w:rPr>
          <w:rFonts w:ascii="Arial" w:eastAsia="Arial" w:hAnsi="Arial" w:cs="Arial"/>
          <w:sz w:val="24"/>
          <w:szCs w:val="24"/>
        </w:rPr>
      </w:pPr>
    </w:p>
    <w:p w14:paraId="497DCE9D" w14:textId="05E71AE4" w:rsidR="00080EF1" w:rsidRPr="00A87AD8" w:rsidRDefault="00080EF1" w:rsidP="00A87AD8">
      <w:pPr>
        <w:ind w:left="720" w:hanging="720"/>
        <w:rPr>
          <w:rFonts w:ascii="Arial" w:eastAsia="Arial" w:hAnsi="Arial" w:cs="Arial"/>
          <w:sz w:val="24"/>
          <w:szCs w:val="24"/>
        </w:rPr>
      </w:pPr>
      <w:r w:rsidRPr="00A87AD8">
        <w:rPr>
          <w:rFonts w:ascii="Arial" w:eastAsia="Arial" w:hAnsi="Arial" w:cs="Arial"/>
          <w:sz w:val="24"/>
          <w:szCs w:val="24"/>
        </w:rPr>
        <w:t>2.</w:t>
      </w:r>
      <w:r w:rsidR="008130F0" w:rsidRPr="00A87AD8">
        <w:rPr>
          <w:rFonts w:ascii="Arial" w:eastAsia="Arial" w:hAnsi="Arial" w:cs="Arial"/>
          <w:sz w:val="24"/>
          <w:szCs w:val="24"/>
        </w:rPr>
        <w:t>2</w:t>
      </w:r>
      <w:r w:rsidRPr="00A87AD8">
        <w:rPr>
          <w:rFonts w:ascii="Arial" w:eastAsia="Arial" w:hAnsi="Arial" w:cs="Arial"/>
          <w:sz w:val="24"/>
          <w:szCs w:val="24"/>
        </w:rPr>
        <w:tab/>
      </w:r>
      <w:r w:rsidR="0030253C" w:rsidRPr="00A87AD8">
        <w:rPr>
          <w:rFonts w:ascii="Arial" w:eastAsia="Arial" w:hAnsi="Arial" w:cs="Arial"/>
          <w:sz w:val="24"/>
          <w:szCs w:val="24"/>
        </w:rPr>
        <w:t xml:space="preserve">Oropharyngeal </w:t>
      </w:r>
      <w:r w:rsidR="00BA6028" w:rsidRPr="00A87AD8">
        <w:rPr>
          <w:rFonts w:ascii="Arial" w:eastAsia="Arial" w:hAnsi="Arial" w:cs="Arial"/>
          <w:sz w:val="24"/>
          <w:szCs w:val="24"/>
        </w:rPr>
        <w:t>Dysphagia (</w:t>
      </w:r>
      <w:r w:rsidR="00C40032" w:rsidRPr="00A87AD8">
        <w:rPr>
          <w:rFonts w:ascii="Arial" w:eastAsia="Arial" w:hAnsi="Arial" w:cs="Arial"/>
          <w:sz w:val="24"/>
          <w:szCs w:val="24"/>
        </w:rPr>
        <w:t>difficulty swallowing</w:t>
      </w:r>
      <w:r w:rsidR="00BA6028" w:rsidRPr="00A87AD8">
        <w:rPr>
          <w:rFonts w:ascii="Arial" w:eastAsia="Arial" w:hAnsi="Arial" w:cs="Arial"/>
          <w:sz w:val="24"/>
          <w:szCs w:val="24"/>
        </w:rPr>
        <w:t xml:space="preserve">) </w:t>
      </w:r>
      <w:r w:rsidR="009D667D" w:rsidRPr="00A87AD8">
        <w:rPr>
          <w:rFonts w:ascii="Arial" w:eastAsia="Arial" w:hAnsi="Arial" w:cs="Arial"/>
          <w:sz w:val="24"/>
          <w:szCs w:val="24"/>
        </w:rPr>
        <w:t>frequently</w:t>
      </w:r>
      <w:r w:rsidR="00BA6028" w:rsidRPr="00A87AD8">
        <w:rPr>
          <w:rFonts w:ascii="Arial" w:eastAsia="Arial" w:hAnsi="Arial" w:cs="Arial"/>
          <w:sz w:val="24"/>
          <w:szCs w:val="24"/>
        </w:rPr>
        <w:t xml:space="preserve"> occur</w:t>
      </w:r>
      <w:r w:rsidR="00C40032" w:rsidRPr="00A87AD8">
        <w:rPr>
          <w:rFonts w:ascii="Arial" w:eastAsia="Arial" w:hAnsi="Arial" w:cs="Arial"/>
          <w:sz w:val="24"/>
          <w:szCs w:val="24"/>
        </w:rPr>
        <w:t>s</w:t>
      </w:r>
      <w:r w:rsidR="00BA6028" w:rsidRPr="00A87AD8">
        <w:rPr>
          <w:rFonts w:ascii="Arial" w:eastAsia="Arial" w:hAnsi="Arial" w:cs="Arial"/>
          <w:sz w:val="24"/>
          <w:szCs w:val="24"/>
        </w:rPr>
        <w:t xml:space="preserve"> in adults </w:t>
      </w:r>
      <w:proofErr w:type="gramStart"/>
      <w:r w:rsidR="00BA6028" w:rsidRPr="00A87AD8">
        <w:rPr>
          <w:rFonts w:ascii="Arial" w:eastAsia="Arial" w:hAnsi="Arial" w:cs="Arial"/>
          <w:sz w:val="24"/>
          <w:szCs w:val="24"/>
        </w:rPr>
        <w:t>as a result of</w:t>
      </w:r>
      <w:proofErr w:type="gramEnd"/>
      <w:r w:rsidR="009D667D" w:rsidRPr="00A87AD8">
        <w:rPr>
          <w:rFonts w:ascii="Arial" w:eastAsia="Arial" w:hAnsi="Arial" w:cs="Arial"/>
          <w:sz w:val="24"/>
          <w:szCs w:val="24"/>
        </w:rPr>
        <w:t xml:space="preserve"> an </w:t>
      </w:r>
      <w:r w:rsidR="00BA6028" w:rsidRPr="00A87AD8">
        <w:rPr>
          <w:rFonts w:ascii="Arial" w:eastAsia="Arial" w:hAnsi="Arial" w:cs="Arial"/>
          <w:sz w:val="24"/>
          <w:szCs w:val="24"/>
        </w:rPr>
        <w:t xml:space="preserve">acquired </w:t>
      </w:r>
      <w:r w:rsidR="009D667D" w:rsidRPr="00A87AD8">
        <w:rPr>
          <w:rFonts w:ascii="Arial" w:eastAsia="Arial" w:hAnsi="Arial" w:cs="Arial"/>
          <w:sz w:val="24"/>
          <w:szCs w:val="24"/>
        </w:rPr>
        <w:t xml:space="preserve">medical </w:t>
      </w:r>
      <w:r w:rsidR="00BA6028" w:rsidRPr="00A87AD8">
        <w:rPr>
          <w:rFonts w:ascii="Arial" w:eastAsia="Arial" w:hAnsi="Arial" w:cs="Arial"/>
          <w:sz w:val="24"/>
          <w:szCs w:val="24"/>
        </w:rPr>
        <w:t xml:space="preserve">condition (such as stroke, </w:t>
      </w:r>
      <w:r w:rsidR="009D667D" w:rsidRPr="00A87AD8">
        <w:rPr>
          <w:rFonts w:ascii="Arial" w:eastAsia="Arial" w:hAnsi="Arial" w:cs="Arial"/>
          <w:sz w:val="24"/>
          <w:szCs w:val="24"/>
        </w:rPr>
        <w:t xml:space="preserve">neurological disease, </w:t>
      </w:r>
      <w:r w:rsidR="00BA6028" w:rsidRPr="00A87AD8">
        <w:rPr>
          <w:rFonts w:ascii="Arial" w:eastAsia="Arial" w:hAnsi="Arial" w:cs="Arial"/>
          <w:sz w:val="24"/>
          <w:szCs w:val="24"/>
        </w:rPr>
        <w:t>head injury, cancer, dementia, spinal surgery) (</w:t>
      </w:r>
      <w:r w:rsidR="00BA6028" w:rsidRPr="00E24BBA">
        <w:rPr>
          <w:rFonts w:ascii="Arial" w:eastAsia="Arial" w:hAnsi="Arial" w:cs="Arial"/>
          <w:i/>
          <w:iCs/>
          <w:sz w:val="24"/>
          <w:szCs w:val="24"/>
        </w:rPr>
        <w:t>Clave and Shaker 2015</w:t>
      </w:r>
      <w:r w:rsidR="00BA6028" w:rsidRPr="00A87AD8">
        <w:rPr>
          <w:rFonts w:ascii="Arial" w:eastAsia="Arial" w:hAnsi="Arial" w:cs="Arial"/>
          <w:sz w:val="24"/>
          <w:szCs w:val="24"/>
        </w:rPr>
        <w:t>).</w:t>
      </w:r>
    </w:p>
    <w:p w14:paraId="33EF7DAB" w14:textId="77777777" w:rsidR="008130F0" w:rsidRPr="00A87AD8" w:rsidRDefault="008130F0" w:rsidP="00A87AD8">
      <w:pPr>
        <w:ind w:left="720" w:hanging="720"/>
        <w:rPr>
          <w:rFonts w:ascii="Arial" w:eastAsia="Arial" w:hAnsi="Arial" w:cs="Arial"/>
          <w:sz w:val="24"/>
          <w:szCs w:val="24"/>
        </w:rPr>
      </w:pPr>
    </w:p>
    <w:p w14:paraId="7A6C35F9" w14:textId="15A49E6D" w:rsidR="00220EBA" w:rsidRPr="00A87AD8" w:rsidRDefault="00080EF1" w:rsidP="00A87AD8">
      <w:pPr>
        <w:pStyle w:val="Default"/>
        <w:ind w:left="720" w:hanging="720"/>
        <w:rPr>
          <w:rFonts w:ascii="Arial" w:hAnsi="Arial" w:cs="Arial"/>
          <w:color w:val="auto"/>
        </w:rPr>
      </w:pPr>
      <w:r w:rsidRPr="00A87AD8">
        <w:rPr>
          <w:rFonts w:ascii="Arial" w:eastAsia="Arial" w:hAnsi="Arial" w:cs="Arial"/>
        </w:rPr>
        <w:t>2.</w:t>
      </w:r>
      <w:r w:rsidR="008130F0" w:rsidRPr="00A87AD8">
        <w:rPr>
          <w:rFonts w:ascii="Arial" w:eastAsia="Arial" w:hAnsi="Arial" w:cs="Arial"/>
        </w:rPr>
        <w:t>3</w:t>
      </w:r>
      <w:r w:rsidR="00220EBA" w:rsidRPr="00A87AD8">
        <w:rPr>
          <w:rFonts w:ascii="Arial" w:eastAsia="Arial" w:hAnsi="Arial" w:cs="Arial"/>
        </w:rPr>
        <w:tab/>
      </w:r>
      <w:r w:rsidR="00BA6028" w:rsidRPr="00A87AD8">
        <w:rPr>
          <w:rFonts w:ascii="Arial" w:eastAsia="Arial" w:hAnsi="Arial" w:cs="Arial"/>
        </w:rPr>
        <w:t>Dysphagia i</w:t>
      </w:r>
      <w:r w:rsidR="009D667D" w:rsidRPr="00A87AD8">
        <w:rPr>
          <w:rFonts w:ascii="Arial" w:eastAsia="Arial" w:hAnsi="Arial" w:cs="Arial"/>
        </w:rPr>
        <w:t xml:space="preserve">s </w:t>
      </w:r>
      <w:r w:rsidR="00BA6028" w:rsidRPr="00A87AD8">
        <w:rPr>
          <w:rFonts w:ascii="Arial" w:eastAsia="Arial" w:hAnsi="Arial" w:cs="Arial"/>
        </w:rPr>
        <w:t xml:space="preserve">prevalent in the older person, particularly when cooccurring with frailty and is frequently associated with end of life </w:t>
      </w:r>
      <w:r w:rsidR="00BA6028" w:rsidRPr="00A87AD8">
        <w:rPr>
          <w:rFonts w:ascii="Arial" w:hAnsi="Arial" w:cs="Arial"/>
          <w:color w:val="auto"/>
        </w:rPr>
        <w:t>(</w:t>
      </w:r>
      <w:r w:rsidR="00BA6028" w:rsidRPr="00E24BBA">
        <w:rPr>
          <w:rFonts w:ascii="Arial" w:hAnsi="Arial" w:cs="Arial"/>
          <w:i/>
          <w:iCs/>
          <w:color w:val="auto"/>
        </w:rPr>
        <w:t>Smithard, 2016; Chen et al, 2010; Marik et al, 2003</w:t>
      </w:r>
      <w:r w:rsidR="00BA6028" w:rsidRPr="00A87AD8">
        <w:rPr>
          <w:rFonts w:ascii="Arial" w:hAnsi="Arial" w:cs="Arial"/>
          <w:color w:val="auto"/>
        </w:rPr>
        <w:t>).</w:t>
      </w:r>
    </w:p>
    <w:p w14:paraId="135EC21E" w14:textId="77777777" w:rsidR="00C40032" w:rsidRPr="00A87AD8" w:rsidRDefault="00C40032" w:rsidP="00A87AD8">
      <w:pPr>
        <w:pStyle w:val="Default"/>
        <w:ind w:left="720" w:hanging="720"/>
        <w:rPr>
          <w:rFonts w:ascii="Arial" w:hAnsi="Arial" w:cs="Arial"/>
        </w:rPr>
      </w:pPr>
    </w:p>
    <w:p w14:paraId="245F829A" w14:textId="3F1EFA4D" w:rsidR="00080EF1" w:rsidRPr="00A87AD8" w:rsidRDefault="00220EBA" w:rsidP="00A87AD8">
      <w:pPr>
        <w:pStyle w:val="Default"/>
        <w:ind w:left="709" w:hanging="709"/>
        <w:rPr>
          <w:rFonts w:ascii="Arial" w:hAnsi="Arial" w:cs="Arial"/>
          <w:color w:val="auto"/>
        </w:rPr>
      </w:pPr>
      <w:r w:rsidRPr="00A87AD8">
        <w:rPr>
          <w:rFonts w:ascii="Arial" w:eastAsia="Arial" w:hAnsi="Arial" w:cs="Arial"/>
        </w:rPr>
        <w:t>2.</w:t>
      </w:r>
      <w:r w:rsidR="008130F0" w:rsidRPr="00A87AD8">
        <w:rPr>
          <w:rFonts w:ascii="Arial" w:eastAsia="Arial" w:hAnsi="Arial" w:cs="Arial"/>
        </w:rPr>
        <w:t>4</w:t>
      </w:r>
      <w:r w:rsidR="00080EF1" w:rsidRPr="00A87AD8">
        <w:rPr>
          <w:rFonts w:ascii="Arial" w:eastAsia="Arial" w:hAnsi="Arial" w:cs="Arial"/>
        </w:rPr>
        <w:tab/>
      </w:r>
      <w:r w:rsidR="009D667D" w:rsidRPr="00A87AD8">
        <w:rPr>
          <w:rFonts w:ascii="Arial" w:eastAsia="Arial" w:hAnsi="Arial" w:cs="Arial"/>
        </w:rPr>
        <w:t>The well documented consequences</w:t>
      </w:r>
      <w:r w:rsidR="00C40032" w:rsidRPr="00A87AD8">
        <w:rPr>
          <w:rFonts w:ascii="Arial" w:eastAsia="Arial" w:hAnsi="Arial" w:cs="Arial"/>
        </w:rPr>
        <w:t xml:space="preserve"> or risks</w:t>
      </w:r>
      <w:r w:rsidR="009D667D" w:rsidRPr="00A87AD8">
        <w:rPr>
          <w:rFonts w:ascii="Arial" w:eastAsia="Arial" w:hAnsi="Arial" w:cs="Arial"/>
        </w:rPr>
        <w:t xml:space="preserve"> of </w:t>
      </w:r>
      <w:r w:rsidR="00C40032" w:rsidRPr="00A87AD8">
        <w:rPr>
          <w:rFonts w:ascii="Arial" w:eastAsia="Arial" w:hAnsi="Arial" w:cs="Arial"/>
        </w:rPr>
        <w:t xml:space="preserve">eating and drinking with </w:t>
      </w:r>
      <w:r w:rsidR="009D667D" w:rsidRPr="00A87AD8">
        <w:rPr>
          <w:rFonts w:ascii="Arial" w:eastAsia="Arial" w:hAnsi="Arial" w:cs="Arial"/>
        </w:rPr>
        <w:t xml:space="preserve">dysphagia are malnutrition, dehydration, aspiration pneumonia, </w:t>
      </w:r>
      <w:r w:rsidR="00C40032" w:rsidRPr="00A87AD8">
        <w:rPr>
          <w:rFonts w:ascii="Arial" w:eastAsia="Arial" w:hAnsi="Arial" w:cs="Arial"/>
        </w:rPr>
        <w:t xml:space="preserve">distress, social isolation </w:t>
      </w:r>
      <w:r w:rsidR="009D667D" w:rsidRPr="00A87AD8">
        <w:rPr>
          <w:rFonts w:ascii="Arial" w:eastAsia="Arial" w:hAnsi="Arial" w:cs="Arial"/>
        </w:rPr>
        <w:t>choking and even death</w:t>
      </w:r>
      <w:r w:rsidR="00954CC9">
        <w:rPr>
          <w:rFonts w:ascii="Arial" w:eastAsia="Arial" w:hAnsi="Arial" w:cs="Arial"/>
        </w:rPr>
        <w:t xml:space="preserve"> </w:t>
      </w:r>
      <w:r w:rsidR="009D667D" w:rsidRPr="00A87AD8">
        <w:rPr>
          <w:rFonts w:ascii="Arial" w:hAnsi="Arial" w:cs="Arial"/>
          <w:color w:val="auto"/>
        </w:rPr>
        <w:t>(</w:t>
      </w:r>
      <w:r w:rsidR="009D667D" w:rsidRPr="00E24BBA">
        <w:rPr>
          <w:rFonts w:ascii="Arial" w:hAnsi="Arial" w:cs="Arial"/>
          <w:i/>
          <w:iCs/>
          <w:color w:val="auto"/>
        </w:rPr>
        <w:t>Leder &amp; Suiter, 2009</w:t>
      </w:r>
      <w:r w:rsidR="009D667D" w:rsidRPr="00A87AD8">
        <w:rPr>
          <w:rFonts w:ascii="Arial" w:hAnsi="Arial" w:cs="Arial"/>
          <w:color w:val="auto"/>
        </w:rPr>
        <w:t>).</w:t>
      </w:r>
    </w:p>
    <w:p w14:paraId="0C3B5B0A" w14:textId="77777777" w:rsidR="009D667D" w:rsidRPr="00A87AD8" w:rsidRDefault="009D667D" w:rsidP="00A87AD8">
      <w:pPr>
        <w:pStyle w:val="Default"/>
        <w:ind w:left="709" w:hanging="709"/>
        <w:rPr>
          <w:rFonts w:ascii="Arial" w:hAnsi="Arial" w:cs="Arial"/>
          <w:color w:val="auto"/>
        </w:rPr>
      </w:pPr>
    </w:p>
    <w:p w14:paraId="0A6C1BA5" w14:textId="5011A50F" w:rsidR="009D667D" w:rsidRPr="00A87AD8" w:rsidRDefault="009D667D" w:rsidP="00A87AD8">
      <w:pPr>
        <w:pStyle w:val="Default"/>
        <w:ind w:left="709" w:hanging="709"/>
        <w:rPr>
          <w:rFonts w:ascii="Arial" w:hAnsi="Arial" w:cs="Arial"/>
          <w:color w:val="auto"/>
        </w:rPr>
      </w:pPr>
      <w:r w:rsidRPr="00A87AD8">
        <w:rPr>
          <w:rFonts w:ascii="Arial" w:hAnsi="Arial" w:cs="Arial"/>
          <w:color w:val="auto"/>
        </w:rPr>
        <w:lastRenderedPageBreak/>
        <w:t>2.</w:t>
      </w:r>
      <w:r w:rsidR="008130F0" w:rsidRPr="00A87AD8">
        <w:rPr>
          <w:rFonts w:ascii="Arial" w:hAnsi="Arial" w:cs="Arial"/>
          <w:color w:val="auto"/>
        </w:rPr>
        <w:t>5</w:t>
      </w:r>
      <w:r w:rsidRPr="00A87AD8">
        <w:rPr>
          <w:rFonts w:ascii="Arial" w:hAnsi="Arial" w:cs="Arial"/>
          <w:color w:val="auto"/>
        </w:rPr>
        <w:tab/>
        <w:t>With individuals living longer and living with more complex health conditions, the need for multi professional teams to support decisions around eating and drinking with risks is increasing.</w:t>
      </w:r>
    </w:p>
    <w:p w14:paraId="35EF1FE1" w14:textId="31A6C00C" w:rsidR="00C40032" w:rsidRPr="00A87AD8" w:rsidRDefault="00C40032" w:rsidP="00A87AD8">
      <w:pPr>
        <w:pStyle w:val="Default"/>
        <w:ind w:left="709" w:hanging="709"/>
        <w:rPr>
          <w:rFonts w:ascii="Arial" w:hAnsi="Arial" w:cs="Arial"/>
          <w:color w:val="auto"/>
        </w:rPr>
      </w:pPr>
    </w:p>
    <w:p w14:paraId="652266DF" w14:textId="48C8FD30" w:rsidR="00C40032" w:rsidRPr="00A87AD8" w:rsidRDefault="00C40032" w:rsidP="00A87AD8">
      <w:pPr>
        <w:pStyle w:val="Default"/>
        <w:ind w:left="709" w:hanging="709"/>
        <w:rPr>
          <w:rFonts w:ascii="Arial" w:hAnsi="Arial" w:cs="Arial"/>
        </w:rPr>
      </w:pPr>
      <w:r w:rsidRPr="00A87AD8">
        <w:rPr>
          <w:rFonts w:ascii="Arial" w:hAnsi="Arial" w:cs="Arial"/>
          <w:color w:val="auto"/>
        </w:rPr>
        <w:t>2.</w:t>
      </w:r>
      <w:r w:rsidR="008130F0" w:rsidRPr="00A87AD8">
        <w:rPr>
          <w:rFonts w:ascii="Arial" w:hAnsi="Arial" w:cs="Arial"/>
          <w:color w:val="auto"/>
        </w:rPr>
        <w:t>6</w:t>
      </w:r>
      <w:r w:rsidRPr="00A87AD8">
        <w:rPr>
          <w:rFonts w:ascii="Arial" w:hAnsi="Arial" w:cs="Arial"/>
          <w:color w:val="auto"/>
        </w:rPr>
        <w:tab/>
        <w:t xml:space="preserve">The decision-making and management of dysphagia is complex; involving assessment of nutritional options and recommendations, weighing up benefits and risks, </w:t>
      </w:r>
      <w:proofErr w:type="gramStart"/>
      <w:r w:rsidRPr="00A87AD8">
        <w:rPr>
          <w:rFonts w:ascii="Arial" w:hAnsi="Arial" w:cs="Arial"/>
          <w:color w:val="auto"/>
        </w:rPr>
        <w:t>prognosis</w:t>
      </w:r>
      <w:proofErr w:type="gramEnd"/>
      <w:r w:rsidRPr="00A87AD8">
        <w:rPr>
          <w:rFonts w:ascii="Arial" w:hAnsi="Arial" w:cs="Arial"/>
          <w:color w:val="auto"/>
        </w:rPr>
        <w:t xml:space="preserve"> and capacity to consent (</w:t>
      </w:r>
      <w:r w:rsidRPr="00E24BBA">
        <w:rPr>
          <w:rFonts w:ascii="Arial" w:hAnsi="Arial" w:cs="Arial"/>
          <w:i/>
          <w:iCs/>
          <w:color w:val="auto"/>
        </w:rPr>
        <w:t>Dibartlo, 2006; 10; Sommerville, 2019</w:t>
      </w:r>
      <w:r w:rsidRPr="00A87AD8">
        <w:rPr>
          <w:rFonts w:ascii="Arial" w:hAnsi="Arial" w:cs="Arial"/>
          <w:color w:val="auto"/>
        </w:rPr>
        <w:t>).</w:t>
      </w:r>
    </w:p>
    <w:p w14:paraId="436C1BF3" w14:textId="77777777" w:rsidR="009D667D" w:rsidRPr="00A87AD8" w:rsidRDefault="009D667D" w:rsidP="00A87AD8">
      <w:pPr>
        <w:pStyle w:val="Default"/>
        <w:ind w:left="709" w:hanging="709"/>
        <w:rPr>
          <w:rFonts w:ascii="Arial" w:hAnsi="Arial" w:cs="Arial"/>
          <w:color w:val="auto"/>
        </w:rPr>
      </w:pPr>
    </w:p>
    <w:p w14:paraId="6CBC9A32" w14:textId="34E42D20" w:rsidR="009D667D" w:rsidRPr="00A87AD8" w:rsidRDefault="009D667D" w:rsidP="00A87AD8">
      <w:pPr>
        <w:pStyle w:val="Default"/>
        <w:ind w:left="709" w:hanging="709"/>
        <w:rPr>
          <w:rFonts w:ascii="Arial" w:hAnsi="Arial" w:cs="Arial"/>
          <w:color w:val="auto"/>
        </w:rPr>
      </w:pPr>
      <w:r w:rsidRPr="00A87AD8">
        <w:rPr>
          <w:rFonts w:ascii="Arial" w:hAnsi="Arial" w:cs="Arial"/>
          <w:color w:val="auto"/>
        </w:rPr>
        <w:t>2.</w:t>
      </w:r>
      <w:r w:rsidR="008130F0" w:rsidRPr="00A87AD8">
        <w:rPr>
          <w:rFonts w:ascii="Arial" w:hAnsi="Arial" w:cs="Arial"/>
          <w:color w:val="auto"/>
        </w:rPr>
        <w:t>7</w:t>
      </w:r>
      <w:r w:rsidRPr="00A87AD8">
        <w:rPr>
          <w:rFonts w:ascii="Arial" w:hAnsi="Arial" w:cs="Arial"/>
          <w:color w:val="auto"/>
        </w:rPr>
        <w:tab/>
        <w:t xml:space="preserve">The aim of this document is to </w:t>
      </w:r>
      <w:r w:rsidR="00C40032" w:rsidRPr="00A87AD8">
        <w:rPr>
          <w:rFonts w:ascii="Arial" w:hAnsi="Arial" w:cs="Arial"/>
          <w:color w:val="auto"/>
        </w:rPr>
        <w:t xml:space="preserve">assist and guide </w:t>
      </w:r>
      <w:r w:rsidRPr="00A87AD8">
        <w:rPr>
          <w:rFonts w:ascii="Arial" w:hAnsi="Arial" w:cs="Arial"/>
          <w:color w:val="auto"/>
        </w:rPr>
        <w:t xml:space="preserve">professionals </w:t>
      </w:r>
      <w:r w:rsidR="00C40032" w:rsidRPr="00A87AD8">
        <w:rPr>
          <w:rFonts w:ascii="Arial" w:hAnsi="Arial" w:cs="Arial"/>
          <w:color w:val="auto"/>
        </w:rPr>
        <w:t xml:space="preserve">in </w:t>
      </w:r>
      <w:r w:rsidRPr="00A87AD8">
        <w:rPr>
          <w:rFonts w:ascii="Arial" w:hAnsi="Arial" w:cs="Arial"/>
          <w:color w:val="auto"/>
        </w:rPr>
        <w:t>appl</w:t>
      </w:r>
      <w:r w:rsidR="00C40032" w:rsidRPr="00A87AD8">
        <w:rPr>
          <w:rFonts w:ascii="Arial" w:hAnsi="Arial" w:cs="Arial"/>
          <w:color w:val="auto"/>
        </w:rPr>
        <w:t xml:space="preserve">ying </w:t>
      </w:r>
      <w:r w:rsidRPr="00A87AD8">
        <w:rPr>
          <w:rFonts w:ascii="Arial" w:hAnsi="Arial" w:cs="Arial"/>
          <w:color w:val="auto"/>
        </w:rPr>
        <w:t>a consistent and unified approach to support</w:t>
      </w:r>
      <w:r w:rsidR="00C40032" w:rsidRPr="00A87AD8">
        <w:rPr>
          <w:rFonts w:ascii="Arial" w:hAnsi="Arial" w:cs="Arial"/>
          <w:color w:val="auto"/>
        </w:rPr>
        <w:t>ing</w:t>
      </w:r>
      <w:r w:rsidRPr="00A87AD8">
        <w:rPr>
          <w:rFonts w:ascii="Arial" w:hAnsi="Arial" w:cs="Arial"/>
          <w:color w:val="auto"/>
        </w:rPr>
        <w:t xml:space="preserve"> a person with dysphagia</w:t>
      </w:r>
      <w:r w:rsidR="0030253C" w:rsidRPr="00A87AD8">
        <w:rPr>
          <w:rFonts w:ascii="Arial" w:hAnsi="Arial" w:cs="Arial"/>
          <w:color w:val="auto"/>
        </w:rPr>
        <w:t xml:space="preserve"> in</w:t>
      </w:r>
      <w:r w:rsidRPr="00A87AD8">
        <w:rPr>
          <w:rFonts w:ascii="Arial" w:hAnsi="Arial" w:cs="Arial"/>
          <w:color w:val="auto"/>
        </w:rPr>
        <w:t xml:space="preserve"> the decision making process around eating and drinking when there are known and ac</w:t>
      </w:r>
      <w:r w:rsidR="00780FC7" w:rsidRPr="00A87AD8">
        <w:rPr>
          <w:rFonts w:ascii="Arial" w:hAnsi="Arial" w:cs="Arial"/>
          <w:color w:val="auto"/>
        </w:rPr>
        <w:t>knowledged risks involved.</w:t>
      </w:r>
    </w:p>
    <w:p w14:paraId="1284F6D5" w14:textId="77777777" w:rsidR="004A2882" w:rsidRPr="00A87AD8" w:rsidRDefault="004A2882" w:rsidP="00A87AD8">
      <w:pPr>
        <w:pStyle w:val="Default"/>
        <w:ind w:left="709" w:hanging="709"/>
        <w:rPr>
          <w:rFonts w:ascii="Arial" w:hAnsi="Arial" w:cs="Arial"/>
          <w:color w:val="auto"/>
        </w:rPr>
      </w:pPr>
    </w:p>
    <w:p w14:paraId="4C7AAA54" w14:textId="23B5BD7C" w:rsidR="004A2882" w:rsidRPr="00A87AD8" w:rsidRDefault="004A2882" w:rsidP="00A87AD8">
      <w:pPr>
        <w:pStyle w:val="Default"/>
        <w:ind w:left="709" w:hanging="709"/>
        <w:rPr>
          <w:rFonts w:ascii="Arial" w:hAnsi="Arial" w:cs="Arial"/>
          <w:color w:val="auto"/>
        </w:rPr>
      </w:pPr>
      <w:r w:rsidRPr="00A87AD8">
        <w:rPr>
          <w:rFonts w:ascii="Arial" w:hAnsi="Arial" w:cs="Arial"/>
          <w:color w:val="auto"/>
        </w:rPr>
        <w:t>2.</w:t>
      </w:r>
      <w:r w:rsidR="008130F0" w:rsidRPr="00A87AD8">
        <w:rPr>
          <w:rFonts w:ascii="Arial" w:hAnsi="Arial" w:cs="Arial"/>
          <w:color w:val="auto"/>
        </w:rPr>
        <w:t>8</w:t>
      </w:r>
      <w:r w:rsidRPr="00A87AD8">
        <w:rPr>
          <w:rFonts w:ascii="Arial" w:hAnsi="Arial" w:cs="Arial"/>
          <w:color w:val="auto"/>
        </w:rPr>
        <w:tab/>
        <w:t>Th</w:t>
      </w:r>
      <w:r w:rsidR="007409B7" w:rsidRPr="00A87AD8">
        <w:rPr>
          <w:rFonts w:ascii="Arial" w:hAnsi="Arial" w:cs="Arial"/>
          <w:color w:val="auto"/>
        </w:rPr>
        <w:t xml:space="preserve">is guidance is written with the aim of putting individuals with oropharyngeal dysphagia at the centre of the decision making process, allowing them to have ownership of the decision. </w:t>
      </w:r>
      <w:r w:rsidR="00D0455F">
        <w:rPr>
          <w:rFonts w:ascii="Arial" w:hAnsi="Arial" w:cs="Arial"/>
          <w:color w:val="auto"/>
        </w:rPr>
        <w:t xml:space="preserve"> </w:t>
      </w:r>
      <w:r w:rsidR="007409B7" w:rsidRPr="00A87AD8">
        <w:rPr>
          <w:rFonts w:ascii="Arial" w:hAnsi="Arial" w:cs="Arial"/>
          <w:color w:val="auto"/>
        </w:rPr>
        <w:t>It is acknowledged that risk cannot be avoided or denied and that understanding how risk is caused and influenced can help to support individuals to be empowered to understand the risk and make their own decisions.</w:t>
      </w:r>
    </w:p>
    <w:p w14:paraId="2A463B50" w14:textId="77777777" w:rsidR="007409B7" w:rsidRPr="00A87AD8" w:rsidRDefault="007409B7" w:rsidP="00A87AD8">
      <w:pPr>
        <w:autoSpaceDE w:val="0"/>
        <w:autoSpaceDN w:val="0"/>
        <w:adjustRightInd w:val="0"/>
        <w:rPr>
          <w:rFonts w:ascii="Arial" w:hAnsi="Arial" w:cs="Arial"/>
          <w:color w:val="000000"/>
          <w:sz w:val="24"/>
          <w:szCs w:val="24"/>
        </w:rPr>
      </w:pPr>
    </w:p>
    <w:p w14:paraId="70B85A15" w14:textId="35ED84F5" w:rsidR="007A4F4D" w:rsidRPr="00A87AD8" w:rsidRDefault="007A4F4D" w:rsidP="00A87AD8">
      <w:pPr>
        <w:pStyle w:val="Default"/>
        <w:ind w:left="709" w:hanging="709"/>
        <w:rPr>
          <w:rFonts w:ascii="Arial" w:hAnsi="Arial" w:cs="Arial"/>
          <w:color w:val="auto"/>
        </w:rPr>
      </w:pPr>
      <w:r w:rsidRPr="00A87AD8">
        <w:rPr>
          <w:rFonts w:ascii="Arial" w:hAnsi="Arial" w:cs="Arial"/>
          <w:color w:val="auto"/>
        </w:rPr>
        <w:t>2.</w:t>
      </w:r>
      <w:r w:rsidR="008130F0" w:rsidRPr="00A87AD8">
        <w:rPr>
          <w:rFonts w:ascii="Arial" w:hAnsi="Arial" w:cs="Arial"/>
          <w:color w:val="auto"/>
        </w:rPr>
        <w:t>9</w:t>
      </w:r>
      <w:r w:rsidRPr="00A87AD8">
        <w:rPr>
          <w:rFonts w:ascii="Arial" w:hAnsi="Arial" w:cs="Arial"/>
          <w:color w:val="auto"/>
        </w:rPr>
        <w:tab/>
        <w:t>The processes outlined in this document should be followed when there are known, persisting or deteriorating swallowing difficulties and where the outcome of the oropharyngeal swallowing assessment may identify significant health risks associated with continued eating and drinking.</w:t>
      </w:r>
    </w:p>
    <w:p w14:paraId="253393D4" w14:textId="46BAF2D3" w:rsidR="003D0764" w:rsidRPr="00A87AD8" w:rsidRDefault="003D0764" w:rsidP="00A87AD8">
      <w:pPr>
        <w:pStyle w:val="Default"/>
        <w:ind w:left="709" w:hanging="709"/>
        <w:rPr>
          <w:rFonts w:ascii="Arial" w:hAnsi="Arial" w:cs="Arial"/>
          <w:color w:val="auto"/>
        </w:rPr>
      </w:pPr>
    </w:p>
    <w:p w14:paraId="0D025515" w14:textId="1031B027" w:rsidR="003D0764" w:rsidRPr="00A87AD8" w:rsidRDefault="003D0764" w:rsidP="00A87AD8">
      <w:pPr>
        <w:pStyle w:val="Default"/>
        <w:ind w:left="709" w:hanging="709"/>
        <w:rPr>
          <w:rFonts w:ascii="Arial" w:hAnsi="Arial" w:cs="Arial"/>
          <w:color w:val="auto"/>
        </w:rPr>
      </w:pPr>
      <w:r w:rsidRPr="00A87AD8">
        <w:rPr>
          <w:rFonts w:ascii="Arial" w:hAnsi="Arial" w:cs="Arial"/>
          <w:color w:val="auto"/>
        </w:rPr>
        <w:t>2.</w:t>
      </w:r>
      <w:r w:rsidR="008130F0" w:rsidRPr="00A87AD8">
        <w:rPr>
          <w:rFonts w:ascii="Arial" w:hAnsi="Arial" w:cs="Arial"/>
          <w:color w:val="auto"/>
        </w:rPr>
        <w:t>10</w:t>
      </w:r>
      <w:r w:rsidRPr="00A87AD8">
        <w:rPr>
          <w:rFonts w:ascii="Arial" w:hAnsi="Arial" w:cs="Arial"/>
          <w:color w:val="auto"/>
        </w:rPr>
        <w:tab/>
        <w:t xml:space="preserve">This guidance has been very closely based on a recently published paper ‘Eating </w:t>
      </w:r>
      <w:r w:rsidR="00D0455F" w:rsidRPr="00A87AD8">
        <w:rPr>
          <w:rFonts w:ascii="Arial" w:hAnsi="Arial" w:cs="Arial"/>
          <w:color w:val="auto"/>
        </w:rPr>
        <w:t>And Drinking With Acknowledged Risks</w:t>
      </w:r>
      <w:r w:rsidRPr="00A87AD8">
        <w:rPr>
          <w:rFonts w:ascii="Arial" w:hAnsi="Arial" w:cs="Arial"/>
          <w:color w:val="auto"/>
        </w:rPr>
        <w:t xml:space="preserve">: Multidisciplinary </w:t>
      </w:r>
      <w:r w:rsidR="00D0455F" w:rsidRPr="00A87AD8">
        <w:rPr>
          <w:rFonts w:ascii="Arial" w:hAnsi="Arial" w:cs="Arial"/>
          <w:color w:val="auto"/>
        </w:rPr>
        <w:t>Team Guidance For The Shared Decision-Making Process (Adults)</w:t>
      </w:r>
      <w:r w:rsidR="00D0455F">
        <w:rPr>
          <w:rFonts w:ascii="Arial" w:hAnsi="Arial" w:cs="Arial"/>
          <w:color w:val="auto"/>
        </w:rPr>
        <w:t>’</w:t>
      </w:r>
      <w:r w:rsidR="00D0455F" w:rsidRPr="00A87AD8">
        <w:rPr>
          <w:rFonts w:ascii="Arial" w:hAnsi="Arial" w:cs="Arial"/>
          <w:color w:val="auto"/>
        </w:rPr>
        <w:t xml:space="preserve"> </w:t>
      </w:r>
      <w:r w:rsidRPr="00A87AD8">
        <w:rPr>
          <w:rFonts w:ascii="Arial" w:hAnsi="Arial" w:cs="Arial"/>
          <w:color w:val="auto"/>
        </w:rPr>
        <w:t>(</w:t>
      </w:r>
      <w:r w:rsidRPr="00D0455F">
        <w:rPr>
          <w:rFonts w:ascii="Arial" w:hAnsi="Arial" w:cs="Arial"/>
          <w:i/>
          <w:iCs/>
          <w:color w:val="auto"/>
        </w:rPr>
        <w:t>RCSLT et al 2021</w:t>
      </w:r>
      <w:r w:rsidRPr="00A87AD8">
        <w:rPr>
          <w:rFonts w:ascii="Arial" w:hAnsi="Arial" w:cs="Arial"/>
          <w:color w:val="auto"/>
        </w:rPr>
        <w:t>).</w:t>
      </w:r>
    </w:p>
    <w:p w14:paraId="057F3678" w14:textId="77777777" w:rsidR="00297784" w:rsidRPr="00A87AD8" w:rsidRDefault="00297784" w:rsidP="00A87AD8">
      <w:pPr>
        <w:pStyle w:val="Default"/>
        <w:ind w:left="709" w:hanging="709"/>
        <w:rPr>
          <w:rFonts w:ascii="Arial" w:hAnsi="Arial" w:cs="Arial"/>
          <w:color w:val="auto"/>
        </w:rPr>
      </w:pPr>
    </w:p>
    <w:p w14:paraId="0B879405" w14:textId="2D14A7BF" w:rsidR="00297784" w:rsidRPr="00A87AD8" w:rsidRDefault="003D0764" w:rsidP="00A87AD8">
      <w:pPr>
        <w:ind w:left="709" w:hanging="709"/>
        <w:rPr>
          <w:rFonts w:ascii="Arial" w:hAnsi="Arial" w:cs="Arial"/>
          <w:sz w:val="24"/>
          <w:szCs w:val="24"/>
        </w:rPr>
      </w:pPr>
      <w:r w:rsidRPr="00A87AD8">
        <w:rPr>
          <w:rFonts w:ascii="Arial" w:hAnsi="Arial" w:cs="Arial"/>
          <w:sz w:val="24"/>
          <w:szCs w:val="24"/>
        </w:rPr>
        <w:t>2.</w:t>
      </w:r>
      <w:r w:rsidR="008130F0" w:rsidRPr="00A87AD8">
        <w:rPr>
          <w:rFonts w:ascii="Arial" w:hAnsi="Arial" w:cs="Arial"/>
          <w:sz w:val="24"/>
          <w:szCs w:val="24"/>
        </w:rPr>
        <w:t>11</w:t>
      </w:r>
      <w:r w:rsidRPr="00A87AD8">
        <w:rPr>
          <w:rFonts w:ascii="Arial" w:hAnsi="Arial" w:cs="Arial"/>
          <w:sz w:val="24"/>
          <w:szCs w:val="24"/>
        </w:rPr>
        <w:tab/>
        <w:t xml:space="preserve">This guidance should also be read in </w:t>
      </w:r>
      <w:r w:rsidR="00297784" w:rsidRPr="00A87AD8">
        <w:rPr>
          <w:rFonts w:ascii="Arial" w:hAnsi="Arial" w:cs="Arial"/>
          <w:sz w:val="24"/>
          <w:szCs w:val="24"/>
        </w:rPr>
        <w:t xml:space="preserve">conjunction with the Trust’s Dysphagia Policy </w:t>
      </w:r>
      <w:r w:rsidR="00561480">
        <w:rPr>
          <w:rFonts w:ascii="Arial" w:hAnsi="Arial" w:cs="Arial"/>
          <w:sz w:val="24"/>
          <w:szCs w:val="24"/>
        </w:rPr>
        <w:t xml:space="preserve">(work in progress) </w:t>
      </w:r>
      <w:r w:rsidR="00297784" w:rsidRPr="00A87AD8">
        <w:rPr>
          <w:rFonts w:ascii="Arial" w:hAnsi="Arial" w:cs="Arial"/>
          <w:sz w:val="24"/>
          <w:szCs w:val="24"/>
        </w:rPr>
        <w:t xml:space="preserve">and the Trust’s guidance document entitled ‘Supporting Decision Making Regarding </w:t>
      </w:r>
      <w:proofErr w:type="gramStart"/>
      <w:r w:rsidR="00297784" w:rsidRPr="00A87AD8">
        <w:rPr>
          <w:rFonts w:ascii="Arial" w:hAnsi="Arial" w:cs="Arial"/>
          <w:sz w:val="24"/>
          <w:szCs w:val="24"/>
        </w:rPr>
        <w:t>Clinically-Assisted</w:t>
      </w:r>
      <w:proofErr w:type="gramEnd"/>
      <w:r w:rsidR="00297784" w:rsidRPr="00A87AD8">
        <w:rPr>
          <w:rFonts w:ascii="Arial" w:hAnsi="Arial" w:cs="Arial"/>
          <w:sz w:val="24"/>
          <w:szCs w:val="24"/>
        </w:rPr>
        <w:t xml:space="preserve"> Nutrition and Hydration (CAN</w:t>
      </w:r>
      <w:r w:rsidR="00D0455F">
        <w:rPr>
          <w:rFonts w:ascii="Arial" w:hAnsi="Arial" w:cs="Arial"/>
          <w:sz w:val="24"/>
          <w:szCs w:val="24"/>
        </w:rPr>
        <w:t>H</w:t>
      </w:r>
      <w:r w:rsidR="00297784" w:rsidRPr="00A87AD8">
        <w:rPr>
          <w:rFonts w:ascii="Arial" w:hAnsi="Arial" w:cs="Arial"/>
          <w:sz w:val="24"/>
          <w:szCs w:val="24"/>
        </w:rPr>
        <w:t xml:space="preserve">) (if appropriate). </w:t>
      </w:r>
    </w:p>
    <w:p w14:paraId="458D3F67" w14:textId="77777777" w:rsidR="007409B7" w:rsidRPr="00A87AD8" w:rsidRDefault="007409B7" w:rsidP="00A87AD8">
      <w:pPr>
        <w:ind w:left="709" w:hanging="709"/>
        <w:rPr>
          <w:rFonts w:ascii="Arial" w:eastAsia="Arial" w:hAnsi="Arial" w:cs="Arial"/>
          <w:b/>
          <w:sz w:val="24"/>
          <w:szCs w:val="24"/>
        </w:rPr>
      </w:pPr>
    </w:p>
    <w:p w14:paraId="0D60145A" w14:textId="204FB318" w:rsidR="007409B7" w:rsidRPr="00A87AD8" w:rsidRDefault="008130F0" w:rsidP="00A87AD8">
      <w:pPr>
        <w:widowControl w:val="0"/>
        <w:autoSpaceDE w:val="0"/>
        <w:autoSpaceDN w:val="0"/>
        <w:adjustRightInd w:val="0"/>
        <w:ind w:left="709" w:hanging="709"/>
        <w:rPr>
          <w:rFonts w:ascii="Arial" w:eastAsia="Times New Roman" w:hAnsi="Arial" w:cs="Arial"/>
          <w:color w:val="000000"/>
          <w:sz w:val="24"/>
          <w:szCs w:val="24"/>
          <w:lang w:val="en-US"/>
        </w:rPr>
      </w:pPr>
      <w:r w:rsidRPr="00A87AD8">
        <w:rPr>
          <w:rFonts w:ascii="Arial" w:eastAsia="Times New Roman" w:hAnsi="Arial" w:cs="Arial"/>
          <w:color w:val="000000"/>
          <w:sz w:val="24"/>
          <w:szCs w:val="24"/>
          <w:lang w:val="en-US"/>
        </w:rPr>
        <w:t>2.12</w:t>
      </w:r>
      <w:r w:rsidRPr="00A87AD8">
        <w:rPr>
          <w:rFonts w:ascii="Arial" w:eastAsia="Times New Roman" w:hAnsi="Arial" w:cs="Arial"/>
          <w:color w:val="000000"/>
          <w:sz w:val="24"/>
          <w:szCs w:val="24"/>
          <w:lang w:val="en-US"/>
        </w:rPr>
        <w:tab/>
      </w:r>
      <w:r w:rsidR="007409B7" w:rsidRPr="00A87AD8">
        <w:rPr>
          <w:rFonts w:ascii="Arial" w:eastAsia="Times New Roman" w:hAnsi="Arial" w:cs="Arial"/>
          <w:color w:val="000000"/>
          <w:sz w:val="24"/>
          <w:szCs w:val="24"/>
          <w:lang w:val="en-US"/>
        </w:rPr>
        <w:t xml:space="preserve">The Mental Capacity Act (2005) must be </w:t>
      </w:r>
      <w:proofErr w:type="gramStart"/>
      <w:r w:rsidR="007409B7" w:rsidRPr="00A87AD8">
        <w:rPr>
          <w:rFonts w:ascii="Arial" w:eastAsia="Times New Roman" w:hAnsi="Arial" w:cs="Arial"/>
          <w:color w:val="000000"/>
          <w:sz w:val="24"/>
          <w:szCs w:val="24"/>
          <w:lang w:val="en-US"/>
        </w:rPr>
        <w:t>applied at all times</w:t>
      </w:r>
      <w:proofErr w:type="gramEnd"/>
      <w:r w:rsidR="007409B7" w:rsidRPr="00A87AD8">
        <w:rPr>
          <w:rFonts w:ascii="Arial" w:eastAsia="Times New Roman" w:hAnsi="Arial" w:cs="Arial"/>
          <w:color w:val="000000"/>
          <w:sz w:val="24"/>
          <w:szCs w:val="24"/>
          <w:lang w:val="en-US"/>
        </w:rPr>
        <w:t xml:space="preserve"> when supporting individuals and their families</w:t>
      </w:r>
      <w:r w:rsidRPr="00A87AD8">
        <w:rPr>
          <w:rFonts w:ascii="Arial" w:eastAsia="Times New Roman" w:hAnsi="Arial" w:cs="Arial"/>
          <w:color w:val="000000"/>
          <w:sz w:val="24"/>
          <w:szCs w:val="24"/>
          <w:lang w:val="en-US"/>
        </w:rPr>
        <w:t xml:space="preserve"> </w:t>
      </w:r>
      <w:r w:rsidR="007409B7" w:rsidRPr="00A87AD8">
        <w:rPr>
          <w:rFonts w:ascii="Arial" w:eastAsia="Times New Roman" w:hAnsi="Arial" w:cs="Arial"/>
          <w:color w:val="000000"/>
          <w:sz w:val="24"/>
          <w:szCs w:val="24"/>
          <w:lang w:val="en-US"/>
        </w:rPr>
        <w:t>/</w:t>
      </w:r>
      <w:r w:rsidRPr="00A87AD8">
        <w:rPr>
          <w:rFonts w:ascii="Arial" w:eastAsia="Times New Roman" w:hAnsi="Arial" w:cs="Arial"/>
          <w:color w:val="000000"/>
          <w:sz w:val="24"/>
          <w:szCs w:val="24"/>
          <w:lang w:val="en-US"/>
        </w:rPr>
        <w:t xml:space="preserve"> </w:t>
      </w:r>
      <w:r w:rsidR="007409B7" w:rsidRPr="00A87AD8">
        <w:rPr>
          <w:rFonts w:ascii="Arial" w:eastAsia="Times New Roman" w:hAnsi="Arial" w:cs="Arial"/>
          <w:color w:val="000000"/>
          <w:sz w:val="24"/>
          <w:szCs w:val="24"/>
          <w:lang w:val="en-US"/>
        </w:rPr>
        <w:t>carers to make decisions relating to eating and drinking with acknowledged risk.</w:t>
      </w:r>
    </w:p>
    <w:p w14:paraId="4981C4D6" w14:textId="6B46459A" w:rsidR="003D0764" w:rsidRPr="00A87AD8" w:rsidRDefault="003D0764" w:rsidP="00A87AD8">
      <w:pPr>
        <w:pStyle w:val="Default"/>
        <w:ind w:left="709" w:hanging="709"/>
        <w:rPr>
          <w:rFonts w:ascii="Arial" w:hAnsi="Arial" w:cs="Arial"/>
          <w:color w:val="auto"/>
        </w:rPr>
      </w:pPr>
    </w:p>
    <w:p w14:paraId="33058920" w14:textId="77777777" w:rsidR="002E5644" w:rsidRPr="00A87AD8" w:rsidRDefault="002E5644" w:rsidP="00A87AD8">
      <w:pPr>
        <w:ind w:left="709" w:hanging="709"/>
        <w:rPr>
          <w:rFonts w:ascii="Arial" w:eastAsia="Times New Roman" w:hAnsi="Arial" w:cs="Arial"/>
          <w:b/>
          <w:bCs/>
          <w:color w:val="0070C0"/>
          <w:sz w:val="24"/>
          <w:szCs w:val="24"/>
        </w:rPr>
      </w:pPr>
    </w:p>
    <w:p w14:paraId="583B4B48" w14:textId="1472BC24" w:rsidR="00080EF1" w:rsidRPr="00A87AD8" w:rsidRDefault="00080EF1" w:rsidP="00A87AD8">
      <w:pPr>
        <w:ind w:left="709" w:hanging="709"/>
        <w:rPr>
          <w:rFonts w:ascii="Arial" w:eastAsia="Times New Roman" w:hAnsi="Arial" w:cs="Arial"/>
          <w:b/>
          <w:bCs/>
          <w:color w:val="0070C0"/>
          <w:sz w:val="24"/>
          <w:szCs w:val="24"/>
        </w:rPr>
      </w:pPr>
      <w:r w:rsidRPr="00A87AD8">
        <w:rPr>
          <w:rFonts w:ascii="Arial" w:eastAsia="Times New Roman" w:hAnsi="Arial" w:cs="Arial"/>
          <w:b/>
          <w:bCs/>
          <w:color w:val="0070C0"/>
          <w:sz w:val="24"/>
          <w:szCs w:val="24"/>
        </w:rPr>
        <w:t xml:space="preserve">3.0   </w:t>
      </w:r>
      <w:r w:rsidRPr="00A87AD8">
        <w:rPr>
          <w:rFonts w:ascii="Arial" w:eastAsia="Times New Roman" w:hAnsi="Arial" w:cs="Arial"/>
          <w:b/>
          <w:bCs/>
          <w:color w:val="0070C0"/>
          <w:sz w:val="24"/>
          <w:szCs w:val="24"/>
        </w:rPr>
        <w:tab/>
        <w:t xml:space="preserve">DEFINITIONS </w:t>
      </w:r>
    </w:p>
    <w:p w14:paraId="10A86143" w14:textId="77777777" w:rsidR="008130F0" w:rsidRPr="00A87AD8" w:rsidRDefault="008130F0" w:rsidP="00A87AD8">
      <w:pPr>
        <w:ind w:left="709" w:hanging="709"/>
        <w:rPr>
          <w:rFonts w:ascii="Arial" w:eastAsia="Times New Roman" w:hAnsi="Arial" w:cs="Arial"/>
          <w:bCs/>
          <w:i/>
          <w:sz w:val="24"/>
          <w:szCs w:val="24"/>
        </w:rPr>
      </w:pPr>
    </w:p>
    <w:p w14:paraId="4FEA63E2" w14:textId="26A7F2F3" w:rsidR="007A4F4D" w:rsidRPr="00A87AD8" w:rsidRDefault="00080EF1" w:rsidP="00A87AD8">
      <w:pPr>
        <w:ind w:left="720" w:hanging="720"/>
        <w:rPr>
          <w:rFonts w:ascii="Arial" w:eastAsia="Arial" w:hAnsi="Arial" w:cs="Arial"/>
          <w:color w:val="0070C0"/>
          <w:sz w:val="24"/>
          <w:szCs w:val="24"/>
          <w:u w:val="single"/>
        </w:rPr>
      </w:pPr>
      <w:r w:rsidRPr="00A87AD8">
        <w:rPr>
          <w:rFonts w:ascii="Arial" w:eastAsia="Arial" w:hAnsi="Arial" w:cs="Arial"/>
          <w:sz w:val="24"/>
          <w:szCs w:val="24"/>
        </w:rPr>
        <w:t>3.1</w:t>
      </w:r>
      <w:r w:rsidRPr="00A87AD8">
        <w:rPr>
          <w:rFonts w:ascii="Arial" w:eastAsia="Arial" w:hAnsi="Arial" w:cs="Arial"/>
          <w:sz w:val="24"/>
          <w:szCs w:val="24"/>
        </w:rPr>
        <w:tab/>
      </w:r>
      <w:r w:rsidR="007A4F4D" w:rsidRPr="00954CC9">
        <w:rPr>
          <w:rFonts w:ascii="Arial" w:eastAsia="Arial" w:hAnsi="Arial" w:cs="Arial"/>
          <w:b/>
          <w:bCs/>
          <w:sz w:val="24"/>
          <w:szCs w:val="24"/>
        </w:rPr>
        <w:t>Oropharyngeal Dysphagia</w:t>
      </w:r>
    </w:p>
    <w:p w14:paraId="1420232E" w14:textId="77777777" w:rsidR="008130F0" w:rsidRPr="00A87AD8" w:rsidRDefault="008130F0" w:rsidP="00A87AD8">
      <w:pPr>
        <w:ind w:left="720" w:hanging="720"/>
        <w:rPr>
          <w:rFonts w:ascii="Arial" w:eastAsia="Arial" w:hAnsi="Arial" w:cs="Arial"/>
          <w:sz w:val="24"/>
          <w:szCs w:val="24"/>
        </w:rPr>
      </w:pPr>
    </w:p>
    <w:p w14:paraId="6E06BFF2" w14:textId="41451344" w:rsidR="007A4F4D" w:rsidRPr="00A87AD8" w:rsidRDefault="007A4F4D" w:rsidP="00A87AD8">
      <w:pPr>
        <w:ind w:left="720"/>
        <w:rPr>
          <w:rFonts w:ascii="Arial" w:hAnsi="Arial" w:cs="Arial"/>
          <w:color w:val="000000"/>
          <w:sz w:val="24"/>
          <w:szCs w:val="24"/>
        </w:rPr>
      </w:pPr>
      <w:r w:rsidRPr="00A87AD8">
        <w:rPr>
          <w:rFonts w:ascii="Arial" w:hAnsi="Arial" w:cs="Arial"/>
          <w:color w:val="000000"/>
          <w:sz w:val="24"/>
          <w:szCs w:val="24"/>
        </w:rPr>
        <w:t xml:space="preserve">A swallowing disorder resulting from a neurological or physical impairment of the oral or pharyngeal mechanisms </w:t>
      </w:r>
      <w:r w:rsidR="00F539E9">
        <w:rPr>
          <w:rFonts w:ascii="Arial" w:hAnsi="Arial" w:cs="Arial"/>
          <w:color w:val="000000"/>
          <w:sz w:val="24"/>
          <w:szCs w:val="24"/>
        </w:rPr>
        <w:t>(</w:t>
      </w:r>
      <w:r w:rsidRPr="00F539E9">
        <w:rPr>
          <w:rFonts w:ascii="Arial" w:hAnsi="Arial" w:cs="Arial"/>
          <w:i/>
          <w:iCs/>
          <w:color w:val="000000"/>
          <w:sz w:val="24"/>
          <w:szCs w:val="24"/>
        </w:rPr>
        <w:t>RCSLT 2014</w:t>
      </w:r>
      <w:r w:rsidRPr="00A87AD8">
        <w:rPr>
          <w:rFonts w:ascii="Arial" w:hAnsi="Arial" w:cs="Arial"/>
          <w:color w:val="000000"/>
          <w:sz w:val="24"/>
          <w:szCs w:val="24"/>
        </w:rPr>
        <w:t>).</w:t>
      </w:r>
    </w:p>
    <w:p w14:paraId="75C3F713" w14:textId="13FEA7DE" w:rsidR="00080EF1" w:rsidRPr="00A87AD8" w:rsidRDefault="00080EF1" w:rsidP="00A87AD8">
      <w:pPr>
        <w:ind w:left="709" w:hanging="709"/>
        <w:rPr>
          <w:rFonts w:ascii="Arial" w:eastAsia="Arial" w:hAnsi="Arial" w:cs="Arial"/>
          <w:sz w:val="24"/>
          <w:szCs w:val="24"/>
        </w:rPr>
      </w:pPr>
    </w:p>
    <w:p w14:paraId="79EA7FA5" w14:textId="4AF9DF40" w:rsidR="00080EF1" w:rsidRPr="00954CC9" w:rsidRDefault="00080EF1" w:rsidP="00A87AD8">
      <w:pPr>
        <w:ind w:left="709" w:hanging="709"/>
        <w:rPr>
          <w:rFonts w:ascii="Arial" w:eastAsia="Arial" w:hAnsi="Arial" w:cs="Arial"/>
          <w:b/>
          <w:bCs/>
          <w:sz w:val="24"/>
          <w:szCs w:val="24"/>
        </w:rPr>
      </w:pPr>
      <w:r w:rsidRPr="00A87AD8">
        <w:rPr>
          <w:rFonts w:ascii="Arial" w:eastAsia="Arial" w:hAnsi="Arial" w:cs="Arial"/>
          <w:sz w:val="24"/>
          <w:szCs w:val="24"/>
        </w:rPr>
        <w:t>3.2</w:t>
      </w:r>
      <w:r w:rsidRPr="00A87AD8">
        <w:rPr>
          <w:rFonts w:ascii="Arial" w:eastAsia="Arial" w:hAnsi="Arial" w:cs="Arial"/>
          <w:sz w:val="24"/>
          <w:szCs w:val="24"/>
        </w:rPr>
        <w:tab/>
      </w:r>
      <w:r w:rsidR="007A4F4D" w:rsidRPr="00954CC9">
        <w:rPr>
          <w:rFonts w:ascii="Arial" w:eastAsia="Arial" w:hAnsi="Arial" w:cs="Arial"/>
          <w:b/>
          <w:bCs/>
          <w:sz w:val="24"/>
          <w:szCs w:val="24"/>
        </w:rPr>
        <w:t>CAN</w:t>
      </w:r>
      <w:r w:rsidR="00F539E9">
        <w:rPr>
          <w:rFonts w:ascii="Arial" w:eastAsia="Arial" w:hAnsi="Arial" w:cs="Arial"/>
          <w:b/>
          <w:bCs/>
          <w:sz w:val="24"/>
          <w:szCs w:val="24"/>
        </w:rPr>
        <w:t>H</w:t>
      </w:r>
      <w:r w:rsidR="007A4F4D" w:rsidRPr="00954CC9">
        <w:rPr>
          <w:rFonts w:ascii="Arial" w:eastAsia="Arial" w:hAnsi="Arial" w:cs="Arial"/>
          <w:b/>
          <w:bCs/>
          <w:sz w:val="24"/>
          <w:szCs w:val="24"/>
        </w:rPr>
        <w:t xml:space="preserve"> </w:t>
      </w:r>
    </w:p>
    <w:p w14:paraId="7F5E8463" w14:textId="77777777" w:rsidR="008130F0" w:rsidRPr="00A87AD8" w:rsidRDefault="008130F0" w:rsidP="00A87AD8">
      <w:pPr>
        <w:ind w:left="709" w:hanging="709"/>
        <w:rPr>
          <w:rFonts w:ascii="Arial" w:eastAsia="Arial" w:hAnsi="Arial" w:cs="Arial"/>
          <w:sz w:val="24"/>
          <w:szCs w:val="24"/>
        </w:rPr>
      </w:pPr>
    </w:p>
    <w:p w14:paraId="53D3FBFB" w14:textId="144943FF" w:rsidR="007A4F4D" w:rsidRDefault="007A4F4D" w:rsidP="00A87AD8">
      <w:pPr>
        <w:ind w:left="709" w:hanging="709"/>
        <w:rPr>
          <w:rFonts w:ascii="Arial" w:hAnsi="Arial" w:cs="Arial"/>
          <w:sz w:val="24"/>
          <w:szCs w:val="24"/>
        </w:rPr>
      </w:pPr>
      <w:r w:rsidRPr="00A87AD8">
        <w:rPr>
          <w:rFonts w:ascii="Arial" w:eastAsia="Arial" w:hAnsi="Arial" w:cs="Arial"/>
          <w:sz w:val="24"/>
          <w:szCs w:val="24"/>
        </w:rPr>
        <w:lastRenderedPageBreak/>
        <w:tab/>
        <w:t xml:space="preserve">Clinically-Assisted Nutrition and Hydration </w:t>
      </w:r>
      <w:r w:rsidRPr="00A87AD8">
        <w:rPr>
          <w:rFonts w:ascii="Arial" w:hAnsi="Arial" w:cs="Arial"/>
          <w:sz w:val="24"/>
          <w:szCs w:val="24"/>
        </w:rPr>
        <w:t>is legally viewed as a medical treatment.</w:t>
      </w:r>
      <w:r w:rsidR="00F539E9">
        <w:rPr>
          <w:rFonts w:ascii="Arial" w:hAnsi="Arial" w:cs="Arial"/>
          <w:sz w:val="24"/>
          <w:szCs w:val="24"/>
        </w:rPr>
        <w:t xml:space="preserve"> </w:t>
      </w:r>
      <w:r w:rsidRPr="00A87AD8">
        <w:rPr>
          <w:rFonts w:ascii="Arial" w:hAnsi="Arial" w:cs="Arial"/>
          <w:sz w:val="24"/>
          <w:szCs w:val="24"/>
        </w:rPr>
        <w:t xml:space="preserve"> It refers to all forms of tube feeding</w:t>
      </w:r>
      <w:r w:rsidR="00F539E9">
        <w:rPr>
          <w:rFonts w:ascii="Arial" w:hAnsi="Arial" w:cs="Arial"/>
          <w:sz w:val="24"/>
          <w:szCs w:val="24"/>
        </w:rPr>
        <w:t>,</w:t>
      </w:r>
      <w:r w:rsidRPr="00A87AD8">
        <w:rPr>
          <w:rFonts w:ascii="Arial" w:hAnsi="Arial" w:cs="Arial"/>
          <w:sz w:val="24"/>
          <w:szCs w:val="24"/>
        </w:rPr>
        <w:t xml:space="preserve"> e.g. nasogastric tube, percutaneous endoscopic gastrostomy (PEG) or parenteral nutrition (PN).</w:t>
      </w:r>
      <w:r w:rsidR="00F539E9">
        <w:rPr>
          <w:rFonts w:ascii="Arial" w:hAnsi="Arial" w:cs="Arial"/>
          <w:sz w:val="24"/>
          <w:szCs w:val="24"/>
        </w:rPr>
        <w:t xml:space="preserve"> </w:t>
      </w:r>
      <w:r w:rsidRPr="00A87AD8">
        <w:rPr>
          <w:rFonts w:ascii="Arial" w:hAnsi="Arial" w:cs="Arial"/>
          <w:sz w:val="24"/>
          <w:szCs w:val="24"/>
        </w:rPr>
        <w:t xml:space="preserve"> It </w:t>
      </w:r>
      <w:proofErr w:type="gramStart"/>
      <w:r w:rsidRPr="00A87AD8">
        <w:rPr>
          <w:rFonts w:ascii="Arial" w:hAnsi="Arial" w:cs="Arial"/>
          <w:sz w:val="24"/>
          <w:szCs w:val="24"/>
        </w:rPr>
        <w:t>doesn’t</w:t>
      </w:r>
      <w:proofErr w:type="gramEnd"/>
      <w:r w:rsidRPr="00A87AD8">
        <w:rPr>
          <w:rFonts w:ascii="Arial" w:hAnsi="Arial" w:cs="Arial"/>
          <w:sz w:val="24"/>
          <w:szCs w:val="24"/>
        </w:rPr>
        <w:t xml:space="preserve"> include oral feeding, by cup, spoon or other method for delivering nutrition into the patient’s mouth.</w:t>
      </w:r>
    </w:p>
    <w:p w14:paraId="59C24887" w14:textId="27412D3E" w:rsidR="001C4B4E" w:rsidRDefault="001C4B4E" w:rsidP="00A87AD8">
      <w:pPr>
        <w:ind w:left="709" w:hanging="709"/>
        <w:rPr>
          <w:rFonts w:ascii="Arial" w:hAnsi="Arial" w:cs="Arial"/>
          <w:sz w:val="24"/>
          <w:szCs w:val="24"/>
        </w:rPr>
      </w:pPr>
    </w:p>
    <w:p w14:paraId="0A716BE8" w14:textId="70E7BFD9" w:rsidR="001C4B4E" w:rsidRPr="001C4B4E" w:rsidRDefault="001C4B4E" w:rsidP="00A87AD8">
      <w:pPr>
        <w:ind w:left="709" w:hanging="709"/>
        <w:rPr>
          <w:rFonts w:ascii="Arial" w:hAnsi="Arial" w:cs="Arial"/>
          <w:b/>
          <w:bCs/>
          <w:sz w:val="24"/>
          <w:szCs w:val="24"/>
        </w:rPr>
      </w:pPr>
      <w:r>
        <w:rPr>
          <w:rFonts w:ascii="Arial" w:hAnsi="Arial" w:cs="Arial"/>
          <w:sz w:val="24"/>
          <w:szCs w:val="24"/>
        </w:rPr>
        <w:t>3.3</w:t>
      </w:r>
      <w:r>
        <w:rPr>
          <w:rFonts w:ascii="Arial" w:hAnsi="Arial" w:cs="Arial"/>
          <w:sz w:val="24"/>
          <w:szCs w:val="24"/>
        </w:rPr>
        <w:tab/>
      </w:r>
      <w:r w:rsidRPr="001C4B4E">
        <w:rPr>
          <w:rFonts w:ascii="Arial" w:hAnsi="Arial" w:cs="Arial"/>
          <w:b/>
          <w:bCs/>
          <w:sz w:val="24"/>
          <w:szCs w:val="24"/>
        </w:rPr>
        <w:t xml:space="preserve">Advanced Care Plan (ACP) </w:t>
      </w:r>
    </w:p>
    <w:p w14:paraId="523C822D" w14:textId="14515017" w:rsidR="001C4B4E" w:rsidRDefault="001C4B4E" w:rsidP="001C4B4E">
      <w:pPr>
        <w:ind w:left="709" w:hanging="709"/>
        <w:rPr>
          <w:rFonts w:ascii="Arial" w:hAnsi="Arial" w:cs="Arial"/>
          <w:sz w:val="24"/>
          <w:szCs w:val="24"/>
        </w:rPr>
      </w:pPr>
      <w:r>
        <w:rPr>
          <w:rFonts w:ascii="Arial" w:hAnsi="Arial" w:cs="Arial"/>
          <w:sz w:val="24"/>
          <w:szCs w:val="24"/>
        </w:rPr>
        <w:tab/>
      </w:r>
      <w:r w:rsidRPr="001C4B4E">
        <w:rPr>
          <w:rFonts w:ascii="Arial" w:hAnsi="Arial" w:cs="Arial"/>
          <w:sz w:val="24"/>
          <w:szCs w:val="24"/>
        </w:rPr>
        <w:t xml:space="preserve">A process of </w:t>
      </w:r>
      <w:r w:rsidRPr="001C4B4E">
        <w:rPr>
          <w:rFonts w:ascii="Arial" w:hAnsi="Arial" w:cs="Arial"/>
          <w:color w:val="000000"/>
          <w:sz w:val="24"/>
          <w:szCs w:val="24"/>
        </w:rPr>
        <w:t>discussion between an individual and their care providers to make clear a person’s wishes, often in the context of anticipated deterioration. In the instance of an individual lacking capacity, the ACP is compiled with involvement from relatives/carers or an</w:t>
      </w:r>
      <w:r>
        <w:rPr>
          <w:rFonts w:ascii="Arial" w:hAnsi="Arial" w:cs="Arial"/>
          <w:color w:val="000000"/>
          <w:sz w:val="24"/>
          <w:szCs w:val="24"/>
        </w:rPr>
        <w:t xml:space="preserve"> </w:t>
      </w:r>
      <w:r w:rsidRPr="001C4B4E">
        <w:rPr>
          <w:rFonts w:ascii="Arial" w:hAnsi="Arial" w:cs="Arial"/>
          <w:sz w:val="24"/>
          <w:szCs w:val="24"/>
        </w:rPr>
        <w:t>Advocate.</w:t>
      </w:r>
    </w:p>
    <w:p w14:paraId="0E7A3F47" w14:textId="02DA2DC2" w:rsidR="001C4B4E" w:rsidRDefault="001C4B4E" w:rsidP="001C4B4E">
      <w:pPr>
        <w:ind w:left="709" w:hanging="709"/>
        <w:rPr>
          <w:rFonts w:ascii="Arial" w:hAnsi="Arial" w:cs="Arial"/>
          <w:sz w:val="24"/>
          <w:szCs w:val="24"/>
        </w:rPr>
      </w:pPr>
    </w:p>
    <w:p w14:paraId="071A3057" w14:textId="40526CA2" w:rsidR="001C4B4E" w:rsidRDefault="001C4B4E" w:rsidP="001C4B4E">
      <w:pPr>
        <w:ind w:left="709" w:hanging="709"/>
        <w:rPr>
          <w:rFonts w:ascii="Arial" w:hAnsi="Arial" w:cs="Arial"/>
          <w:sz w:val="24"/>
          <w:szCs w:val="24"/>
        </w:rPr>
      </w:pPr>
      <w:r>
        <w:rPr>
          <w:rFonts w:ascii="Arial" w:hAnsi="Arial" w:cs="Arial"/>
          <w:sz w:val="24"/>
          <w:szCs w:val="24"/>
        </w:rPr>
        <w:t>3.4</w:t>
      </w:r>
      <w:r>
        <w:rPr>
          <w:rFonts w:ascii="Arial" w:hAnsi="Arial" w:cs="Arial"/>
          <w:sz w:val="24"/>
          <w:szCs w:val="24"/>
        </w:rPr>
        <w:tab/>
      </w:r>
      <w:r w:rsidRPr="001C4B4E">
        <w:rPr>
          <w:rFonts w:ascii="Arial" w:hAnsi="Arial" w:cs="Arial"/>
          <w:b/>
          <w:bCs/>
          <w:sz w:val="24"/>
          <w:szCs w:val="24"/>
        </w:rPr>
        <w:t>Aspiration</w:t>
      </w:r>
    </w:p>
    <w:p w14:paraId="351E6083" w14:textId="2C1F3FC2" w:rsidR="001C4B4E" w:rsidRDefault="001C4B4E" w:rsidP="001C4B4E">
      <w:pPr>
        <w:ind w:left="709" w:hanging="709"/>
        <w:rPr>
          <w:rFonts w:ascii="Arial" w:hAnsi="Arial" w:cs="Arial"/>
          <w:sz w:val="24"/>
          <w:szCs w:val="24"/>
        </w:rPr>
      </w:pPr>
      <w:r>
        <w:rPr>
          <w:rFonts w:ascii="Arial" w:hAnsi="Arial" w:cs="Arial"/>
          <w:sz w:val="24"/>
          <w:szCs w:val="24"/>
        </w:rPr>
        <w:tab/>
        <w:t>When food or drink passes the vocal folds and enters the lungs.</w:t>
      </w:r>
    </w:p>
    <w:p w14:paraId="45DDCCC5" w14:textId="69056C7E" w:rsidR="001C4B4E" w:rsidRDefault="001C4B4E" w:rsidP="001C4B4E">
      <w:pPr>
        <w:ind w:left="709" w:hanging="709"/>
        <w:rPr>
          <w:rFonts w:ascii="Arial" w:hAnsi="Arial" w:cs="Arial"/>
          <w:sz w:val="24"/>
          <w:szCs w:val="24"/>
        </w:rPr>
      </w:pPr>
    </w:p>
    <w:p w14:paraId="10201031" w14:textId="16C597E9" w:rsidR="001C4B4E" w:rsidRPr="001C4B4E" w:rsidRDefault="001C4B4E" w:rsidP="001C4B4E">
      <w:pPr>
        <w:ind w:left="709" w:hanging="709"/>
        <w:rPr>
          <w:rFonts w:ascii="Arial" w:hAnsi="Arial" w:cs="Arial"/>
          <w:b/>
          <w:bCs/>
          <w:sz w:val="24"/>
          <w:szCs w:val="24"/>
        </w:rPr>
      </w:pPr>
      <w:r>
        <w:rPr>
          <w:rFonts w:ascii="Arial" w:hAnsi="Arial" w:cs="Arial"/>
          <w:sz w:val="24"/>
          <w:szCs w:val="24"/>
        </w:rPr>
        <w:t>3.5</w:t>
      </w:r>
      <w:r>
        <w:rPr>
          <w:rFonts w:ascii="Arial" w:hAnsi="Arial" w:cs="Arial"/>
          <w:sz w:val="24"/>
          <w:szCs w:val="24"/>
        </w:rPr>
        <w:tab/>
      </w:r>
      <w:r w:rsidRPr="001C4B4E">
        <w:rPr>
          <w:rFonts w:ascii="Arial" w:hAnsi="Arial" w:cs="Arial"/>
          <w:b/>
          <w:bCs/>
          <w:sz w:val="24"/>
          <w:szCs w:val="24"/>
        </w:rPr>
        <w:t>Aspiration Pneumonia</w:t>
      </w:r>
    </w:p>
    <w:p w14:paraId="35618170" w14:textId="7CF91BB0" w:rsidR="001C4B4E" w:rsidRDefault="001C4B4E" w:rsidP="001C4B4E">
      <w:pPr>
        <w:ind w:left="709" w:hanging="709"/>
        <w:rPr>
          <w:rFonts w:ascii="Arial" w:hAnsi="Arial" w:cs="Arial"/>
          <w:color w:val="000000"/>
          <w:sz w:val="24"/>
          <w:szCs w:val="24"/>
        </w:rPr>
      </w:pPr>
      <w:r>
        <w:rPr>
          <w:rFonts w:ascii="Arial" w:hAnsi="Arial" w:cs="Arial"/>
          <w:sz w:val="24"/>
          <w:szCs w:val="24"/>
        </w:rPr>
        <w:tab/>
      </w:r>
      <w:r w:rsidRPr="001C4B4E">
        <w:rPr>
          <w:rFonts w:ascii="Arial" w:hAnsi="Arial" w:cs="Arial"/>
          <w:sz w:val="24"/>
          <w:szCs w:val="24"/>
        </w:rPr>
        <w:t xml:space="preserve">Results from inhalation </w:t>
      </w:r>
      <w:r w:rsidRPr="001C4B4E">
        <w:rPr>
          <w:rFonts w:ascii="Arial" w:hAnsi="Arial" w:cs="Arial"/>
          <w:color w:val="000000"/>
          <w:sz w:val="24"/>
          <w:szCs w:val="24"/>
        </w:rPr>
        <w:t>of oropharyngeal contents into the lower airways that leads to lung injury and resultant bacterial infection.</w:t>
      </w:r>
    </w:p>
    <w:p w14:paraId="7BA83C06" w14:textId="0013B396" w:rsidR="001C4B4E" w:rsidRDefault="001C4B4E" w:rsidP="001C4B4E">
      <w:pPr>
        <w:ind w:left="709" w:hanging="709"/>
        <w:rPr>
          <w:rFonts w:ascii="Arial" w:hAnsi="Arial" w:cs="Arial"/>
          <w:color w:val="000000"/>
          <w:sz w:val="24"/>
          <w:szCs w:val="24"/>
        </w:rPr>
      </w:pPr>
    </w:p>
    <w:p w14:paraId="0EDD2948" w14:textId="61449F0A" w:rsidR="001C4B4E" w:rsidRPr="00F85B25" w:rsidRDefault="001C4B4E" w:rsidP="001C4B4E">
      <w:pPr>
        <w:ind w:left="709" w:hanging="709"/>
        <w:rPr>
          <w:rFonts w:ascii="Arial" w:hAnsi="Arial" w:cs="Arial"/>
          <w:b/>
          <w:bCs/>
          <w:color w:val="000000"/>
          <w:sz w:val="24"/>
          <w:szCs w:val="24"/>
        </w:rPr>
      </w:pPr>
      <w:r>
        <w:rPr>
          <w:rFonts w:ascii="Arial" w:hAnsi="Arial" w:cs="Arial"/>
          <w:color w:val="000000"/>
          <w:sz w:val="24"/>
          <w:szCs w:val="24"/>
        </w:rPr>
        <w:t>3.6</w:t>
      </w:r>
      <w:r>
        <w:rPr>
          <w:rFonts w:ascii="Arial" w:hAnsi="Arial" w:cs="Arial"/>
          <w:color w:val="000000"/>
          <w:sz w:val="24"/>
          <w:szCs w:val="24"/>
        </w:rPr>
        <w:tab/>
      </w:r>
      <w:r w:rsidR="00F85B25" w:rsidRPr="00F85B25">
        <w:rPr>
          <w:rFonts w:ascii="Arial" w:hAnsi="Arial" w:cs="Arial"/>
          <w:b/>
          <w:bCs/>
          <w:color w:val="000000"/>
          <w:sz w:val="24"/>
          <w:szCs w:val="24"/>
        </w:rPr>
        <w:t>Capacity</w:t>
      </w:r>
    </w:p>
    <w:p w14:paraId="209622D8" w14:textId="0D548256" w:rsidR="00F85B25" w:rsidRDefault="00F85B25" w:rsidP="001C4B4E">
      <w:pPr>
        <w:ind w:left="709" w:hanging="709"/>
        <w:rPr>
          <w:rFonts w:ascii="Arial" w:hAnsi="Arial" w:cs="Arial"/>
          <w:color w:val="000000"/>
          <w:sz w:val="24"/>
          <w:szCs w:val="24"/>
        </w:rPr>
      </w:pPr>
      <w:r>
        <w:rPr>
          <w:rFonts w:ascii="Arial" w:hAnsi="Arial" w:cs="Arial"/>
          <w:color w:val="000000"/>
          <w:sz w:val="24"/>
          <w:szCs w:val="24"/>
        </w:rPr>
        <w:tab/>
        <w:t xml:space="preserve">Mental capacity </w:t>
      </w:r>
      <w:r w:rsidR="002F6DDC">
        <w:rPr>
          <w:rFonts w:ascii="Arial" w:hAnsi="Arial" w:cs="Arial"/>
          <w:color w:val="000000"/>
          <w:sz w:val="24"/>
          <w:szCs w:val="24"/>
        </w:rPr>
        <w:t>is the</w:t>
      </w:r>
      <w:r>
        <w:rPr>
          <w:rFonts w:ascii="Arial" w:hAnsi="Arial" w:cs="Arial"/>
          <w:color w:val="000000"/>
          <w:sz w:val="24"/>
          <w:szCs w:val="24"/>
        </w:rPr>
        <w:t xml:space="preserve"> ability to make your own decisions.</w:t>
      </w:r>
    </w:p>
    <w:p w14:paraId="1CFC6BF4" w14:textId="1AC63BEC" w:rsidR="00F85B25" w:rsidRDefault="00F85B25" w:rsidP="001C4B4E">
      <w:pPr>
        <w:ind w:left="709" w:hanging="709"/>
        <w:rPr>
          <w:rFonts w:ascii="Arial" w:hAnsi="Arial" w:cs="Arial"/>
          <w:color w:val="000000"/>
          <w:sz w:val="24"/>
          <w:szCs w:val="24"/>
        </w:rPr>
      </w:pPr>
    </w:p>
    <w:p w14:paraId="41F57CC3" w14:textId="1B309E3E" w:rsidR="00F85B25" w:rsidRDefault="00F85B25" w:rsidP="001C4B4E">
      <w:pPr>
        <w:ind w:left="709" w:hanging="709"/>
        <w:rPr>
          <w:rFonts w:ascii="Arial" w:hAnsi="Arial" w:cs="Arial"/>
          <w:color w:val="000000"/>
          <w:sz w:val="24"/>
          <w:szCs w:val="24"/>
        </w:rPr>
      </w:pPr>
      <w:r>
        <w:rPr>
          <w:rFonts w:ascii="Arial" w:hAnsi="Arial" w:cs="Arial"/>
          <w:color w:val="000000"/>
          <w:sz w:val="24"/>
          <w:szCs w:val="24"/>
        </w:rPr>
        <w:t>3.7</w:t>
      </w:r>
      <w:r>
        <w:rPr>
          <w:rFonts w:ascii="Arial" w:hAnsi="Arial" w:cs="Arial"/>
          <w:color w:val="000000"/>
          <w:sz w:val="24"/>
          <w:szCs w:val="24"/>
        </w:rPr>
        <w:tab/>
      </w:r>
      <w:r w:rsidRPr="00F85B25">
        <w:rPr>
          <w:rFonts w:ascii="Arial" w:hAnsi="Arial" w:cs="Arial"/>
          <w:b/>
          <w:bCs/>
          <w:color w:val="000000"/>
          <w:sz w:val="24"/>
          <w:szCs w:val="24"/>
        </w:rPr>
        <w:t>Dehydration</w:t>
      </w:r>
    </w:p>
    <w:p w14:paraId="333368F2" w14:textId="11163D2D" w:rsidR="00F85B25" w:rsidRDefault="00F85B25" w:rsidP="001C4B4E">
      <w:pPr>
        <w:ind w:left="709" w:hanging="709"/>
        <w:rPr>
          <w:rFonts w:ascii="Arial" w:hAnsi="Arial" w:cs="Arial"/>
          <w:color w:val="000000"/>
          <w:sz w:val="24"/>
          <w:szCs w:val="24"/>
        </w:rPr>
      </w:pPr>
      <w:r>
        <w:rPr>
          <w:rFonts w:ascii="Arial" w:hAnsi="Arial" w:cs="Arial"/>
          <w:color w:val="000000"/>
          <w:sz w:val="24"/>
          <w:szCs w:val="24"/>
        </w:rPr>
        <w:tab/>
        <w:t xml:space="preserve">A state in which </w:t>
      </w:r>
      <w:r w:rsidRPr="00F85B25">
        <w:rPr>
          <w:rFonts w:ascii="Arial" w:hAnsi="Arial" w:cs="Arial"/>
          <w:color w:val="000000"/>
          <w:sz w:val="24"/>
          <w:szCs w:val="24"/>
        </w:rPr>
        <w:t>a relative deficiency of fluid causes adverse effects on function and clinical outcome</w:t>
      </w:r>
      <w:r>
        <w:rPr>
          <w:rFonts w:ascii="Arial" w:hAnsi="Arial" w:cs="Arial"/>
          <w:color w:val="000000"/>
          <w:sz w:val="24"/>
          <w:szCs w:val="24"/>
        </w:rPr>
        <w:t>.</w:t>
      </w:r>
    </w:p>
    <w:p w14:paraId="1D3592CF" w14:textId="77777777" w:rsidR="002353BF" w:rsidRDefault="002353BF" w:rsidP="001C4B4E">
      <w:pPr>
        <w:ind w:left="709" w:hanging="709"/>
        <w:rPr>
          <w:rFonts w:ascii="Arial" w:hAnsi="Arial" w:cs="Arial"/>
          <w:color w:val="000000"/>
          <w:sz w:val="24"/>
          <w:szCs w:val="24"/>
        </w:rPr>
      </w:pPr>
    </w:p>
    <w:p w14:paraId="4BEDCF45" w14:textId="73DFDB09" w:rsidR="002353BF" w:rsidRDefault="002353BF" w:rsidP="001C4B4E">
      <w:pPr>
        <w:ind w:left="709" w:hanging="709"/>
        <w:rPr>
          <w:rFonts w:ascii="Arial" w:hAnsi="Arial" w:cs="Arial"/>
          <w:color w:val="000000"/>
          <w:sz w:val="24"/>
          <w:szCs w:val="24"/>
        </w:rPr>
      </w:pPr>
      <w:r>
        <w:rPr>
          <w:rFonts w:ascii="Arial" w:hAnsi="Arial" w:cs="Arial"/>
          <w:color w:val="000000"/>
          <w:sz w:val="24"/>
          <w:szCs w:val="24"/>
        </w:rPr>
        <w:t>3.8</w:t>
      </w:r>
      <w:r>
        <w:rPr>
          <w:rFonts w:ascii="Arial" w:hAnsi="Arial" w:cs="Arial"/>
          <w:color w:val="000000"/>
          <w:sz w:val="24"/>
          <w:szCs w:val="24"/>
        </w:rPr>
        <w:tab/>
      </w:r>
      <w:r w:rsidRPr="002103D0">
        <w:rPr>
          <w:rFonts w:ascii="Arial" w:hAnsi="Arial" w:cs="Arial"/>
          <w:b/>
          <w:bCs/>
          <w:color w:val="000000"/>
          <w:sz w:val="24"/>
          <w:szCs w:val="24"/>
        </w:rPr>
        <w:t>Eating and Drinking with Acknowledged Risks</w:t>
      </w:r>
    </w:p>
    <w:p w14:paraId="6DE2ED6A" w14:textId="4166AED8" w:rsidR="002103D0" w:rsidRDefault="002103D0" w:rsidP="001C4B4E">
      <w:pPr>
        <w:ind w:left="709" w:hanging="709"/>
        <w:rPr>
          <w:rFonts w:ascii="Arial" w:hAnsi="Arial" w:cs="Arial"/>
          <w:color w:val="000000"/>
          <w:sz w:val="24"/>
          <w:szCs w:val="24"/>
        </w:rPr>
      </w:pPr>
      <w:r>
        <w:rPr>
          <w:rFonts w:ascii="Arial" w:hAnsi="Arial" w:cs="Arial"/>
          <w:color w:val="000000"/>
          <w:sz w:val="24"/>
          <w:szCs w:val="24"/>
        </w:rPr>
        <w:tab/>
      </w:r>
      <w:r w:rsidRPr="002103D0">
        <w:rPr>
          <w:rFonts w:ascii="Arial" w:hAnsi="Arial" w:cs="Arial"/>
          <w:color w:val="000000"/>
          <w:sz w:val="24"/>
          <w:szCs w:val="24"/>
        </w:rPr>
        <w:t>Continuing to eat and drink despite the associated risks from having dysphagia</w:t>
      </w:r>
      <w:r>
        <w:rPr>
          <w:rFonts w:ascii="Arial" w:hAnsi="Arial" w:cs="Arial"/>
          <w:color w:val="000000"/>
          <w:sz w:val="24"/>
          <w:szCs w:val="24"/>
        </w:rPr>
        <w:t>.</w:t>
      </w:r>
    </w:p>
    <w:p w14:paraId="1B4E75F4" w14:textId="77777777" w:rsidR="002103D0" w:rsidRDefault="002103D0" w:rsidP="001C4B4E">
      <w:pPr>
        <w:ind w:left="709" w:hanging="709"/>
        <w:rPr>
          <w:rFonts w:ascii="Arial" w:hAnsi="Arial" w:cs="Arial"/>
          <w:color w:val="000000"/>
          <w:sz w:val="24"/>
          <w:szCs w:val="24"/>
        </w:rPr>
      </w:pPr>
    </w:p>
    <w:p w14:paraId="1F777725" w14:textId="0D83498D" w:rsidR="002103D0" w:rsidRPr="002103D0" w:rsidRDefault="002103D0" w:rsidP="001C4B4E">
      <w:pPr>
        <w:ind w:left="709" w:hanging="709"/>
        <w:rPr>
          <w:rFonts w:ascii="Arial" w:hAnsi="Arial" w:cs="Arial"/>
          <w:b/>
          <w:bCs/>
          <w:color w:val="000000"/>
          <w:sz w:val="24"/>
          <w:szCs w:val="24"/>
        </w:rPr>
      </w:pPr>
      <w:r>
        <w:rPr>
          <w:rFonts w:ascii="Arial" w:hAnsi="Arial" w:cs="Arial"/>
          <w:color w:val="000000"/>
          <w:sz w:val="24"/>
          <w:szCs w:val="24"/>
        </w:rPr>
        <w:t>3.9</w:t>
      </w:r>
      <w:r>
        <w:rPr>
          <w:rFonts w:ascii="Arial" w:hAnsi="Arial" w:cs="Arial"/>
          <w:color w:val="000000"/>
          <w:sz w:val="24"/>
          <w:szCs w:val="24"/>
        </w:rPr>
        <w:tab/>
      </w:r>
      <w:r w:rsidRPr="002103D0">
        <w:rPr>
          <w:rFonts w:ascii="Arial" w:hAnsi="Arial" w:cs="Arial"/>
          <w:b/>
          <w:bCs/>
          <w:color w:val="000000"/>
          <w:sz w:val="24"/>
          <w:szCs w:val="24"/>
        </w:rPr>
        <w:t>Malnutrition</w:t>
      </w:r>
    </w:p>
    <w:p w14:paraId="590E92A6" w14:textId="32739ABD" w:rsidR="002103D0" w:rsidRDefault="002103D0" w:rsidP="002103D0">
      <w:pPr>
        <w:ind w:left="709" w:hanging="709"/>
        <w:rPr>
          <w:rFonts w:ascii="Arial" w:hAnsi="Arial" w:cs="Arial"/>
          <w:sz w:val="24"/>
          <w:szCs w:val="24"/>
        </w:rPr>
      </w:pPr>
      <w:r>
        <w:rPr>
          <w:rFonts w:ascii="Arial" w:hAnsi="Arial" w:cs="Arial"/>
          <w:color w:val="000000"/>
          <w:sz w:val="24"/>
          <w:szCs w:val="24"/>
        </w:rPr>
        <w:tab/>
      </w:r>
      <w:r w:rsidR="002353BF" w:rsidRPr="002103D0">
        <w:rPr>
          <w:rFonts w:ascii="Arial" w:hAnsi="Arial" w:cs="Arial"/>
          <w:color w:val="000000"/>
          <w:sz w:val="24"/>
          <w:szCs w:val="24"/>
        </w:rPr>
        <w:tab/>
      </w:r>
      <w:r w:rsidRPr="002103D0">
        <w:rPr>
          <w:rFonts w:ascii="Arial" w:hAnsi="Arial" w:cs="Arial"/>
          <w:sz w:val="24"/>
          <w:szCs w:val="24"/>
        </w:rPr>
        <w:t xml:space="preserve">Malnutrition is a state of nutrition in which a deficiency or excess (or imbalance) of energy, protein and other nutrients causes measurable adverse effects on tissue/body form (body shape, </w:t>
      </w:r>
      <w:proofErr w:type="gramStart"/>
      <w:r w:rsidRPr="002103D0">
        <w:rPr>
          <w:rFonts w:ascii="Arial" w:hAnsi="Arial" w:cs="Arial"/>
          <w:sz w:val="24"/>
          <w:szCs w:val="24"/>
        </w:rPr>
        <w:t>size</w:t>
      </w:r>
      <w:proofErr w:type="gramEnd"/>
      <w:r w:rsidRPr="002103D0">
        <w:rPr>
          <w:rFonts w:ascii="Arial" w:hAnsi="Arial" w:cs="Arial"/>
          <w:sz w:val="24"/>
          <w:szCs w:val="24"/>
        </w:rPr>
        <w:t xml:space="preserve"> and composition) and function and clinical outcome</w:t>
      </w:r>
      <w:r>
        <w:rPr>
          <w:rFonts w:ascii="Arial" w:hAnsi="Arial" w:cs="Arial"/>
          <w:sz w:val="24"/>
          <w:szCs w:val="24"/>
        </w:rPr>
        <w:t>.</w:t>
      </w:r>
    </w:p>
    <w:p w14:paraId="18041044" w14:textId="77777777" w:rsidR="002103D0" w:rsidRDefault="002103D0" w:rsidP="002103D0">
      <w:pPr>
        <w:ind w:left="709" w:hanging="709"/>
        <w:rPr>
          <w:rFonts w:ascii="Arial" w:hAnsi="Arial" w:cs="Arial"/>
          <w:sz w:val="24"/>
          <w:szCs w:val="24"/>
        </w:rPr>
      </w:pPr>
    </w:p>
    <w:p w14:paraId="14680FD4" w14:textId="0F15F3FA" w:rsidR="002103D0" w:rsidRDefault="002103D0" w:rsidP="002103D0">
      <w:pPr>
        <w:ind w:left="709" w:hanging="709"/>
        <w:rPr>
          <w:rFonts w:ascii="Arial" w:hAnsi="Arial" w:cs="Arial"/>
          <w:sz w:val="24"/>
          <w:szCs w:val="24"/>
        </w:rPr>
      </w:pPr>
      <w:r>
        <w:rPr>
          <w:rFonts w:ascii="Arial" w:hAnsi="Arial" w:cs="Arial"/>
          <w:sz w:val="24"/>
          <w:szCs w:val="24"/>
        </w:rPr>
        <w:t>3.10</w:t>
      </w:r>
      <w:r>
        <w:rPr>
          <w:rFonts w:ascii="Arial" w:hAnsi="Arial" w:cs="Arial"/>
          <w:sz w:val="24"/>
          <w:szCs w:val="24"/>
        </w:rPr>
        <w:tab/>
      </w:r>
      <w:r w:rsidRPr="002103D0">
        <w:rPr>
          <w:rFonts w:ascii="Arial" w:hAnsi="Arial" w:cs="Arial"/>
          <w:b/>
          <w:bCs/>
          <w:sz w:val="24"/>
          <w:szCs w:val="24"/>
        </w:rPr>
        <w:t>MDT</w:t>
      </w:r>
    </w:p>
    <w:p w14:paraId="583D67EE" w14:textId="6EF0BEBE" w:rsidR="002103D0" w:rsidRDefault="002103D0" w:rsidP="002103D0">
      <w:pPr>
        <w:ind w:left="709" w:hanging="709"/>
        <w:rPr>
          <w:rFonts w:ascii="Arial" w:hAnsi="Arial" w:cs="Arial"/>
          <w:sz w:val="24"/>
          <w:szCs w:val="24"/>
        </w:rPr>
      </w:pPr>
      <w:r>
        <w:rPr>
          <w:rFonts w:ascii="Arial" w:hAnsi="Arial" w:cs="Arial"/>
          <w:sz w:val="24"/>
          <w:szCs w:val="24"/>
        </w:rPr>
        <w:tab/>
        <w:t>Multidisciplinary Team</w:t>
      </w:r>
    </w:p>
    <w:p w14:paraId="24D26826" w14:textId="36F24DA6" w:rsidR="002103D0" w:rsidRDefault="002103D0" w:rsidP="002103D0">
      <w:pPr>
        <w:ind w:left="709" w:hanging="709"/>
        <w:rPr>
          <w:rFonts w:ascii="Arial" w:hAnsi="Arial" w:cs="Arial"/>
          <w:sz w:val="24"/>
          <w:szCs w:val="24"/>
        </w:rPr>
      </w:pPr>
    </w:p>
    <w:p w14:paraId="0899BCF7" w14:textId="485C47E4" w:rsidR="002103D0" w:rsidRDefault="002103D0" w:rsidP="002103D0">
      <w:pPr>
        <w:ind w:left="709" w:hanging="709"/>
        <w:rPr>
          <w:rFonts w:ascii="Arial" w:hAnsi="Arial" w:cs="Arial"/>
          <w:sz w:val="24"/>
          <w:szCs w:val="24"/>
        </w:rPr>
      </w:pPr>
      <w:r>
        <w:rPr>
          <w:rFonts w:ascii="Arial" w:hAnsi="Arial" w:cs="Arial"/>
          <w:sz w:val="24"/>
          <w:szCs w:val="24"/>
        </w:rPr>
        <w:t>3.11</w:t>
      </w:r>
      <w:r>
        <w:rPr>
          <w:rFonts w:ascii="Arial" w:hAnsi="Arial" w:cs="Arial"/>
          <w:sz w:val="24"/>
          <w:szCs w:val="24"/>
        </w:rPr>
        <w:tab/>
      </w:r>
      <w:r w:rsidRPr="002103D0">
        <w:rPr>
          <w:rFonts w:ascii="Arial" w:hAnsi="Arial" w:cs="Arial"/>
          <w:b/>
          <w:bCs/>
          <w:sz w:val="24"/>
          <w:szCs w:val="24"/>
        </w:rPr>
        <w:t>SLT</w:t>
      </w:r>
    </w:p>
    <w:p w14:paraId="173ED9B6" w14:textId="3B860E44" w:rsidR="002103D0" w:rsidRPr="002103D0" w:rsidRDefault="002103D0" w:rsidP="002103D0">
      <w:pPr>
        <w:ind w:left="709" w:hanging="709"/>
        <w:rPr>
          <w:sz w:val="24"/>
          <w:szCs w:val="24"/>
        </w:rPr>
      </w:pPr>
      <w:r>
        <w:rPr>
          <w:rFonts w:ascii="Arial" w:hAnsi="Arial" w:cs="Arial"/>
          <w:sz w:val="24"/>
          <w:szCs w:val="24"/>
        </w:rPr>
        <w:tab/>
        <w:t>Speech and Language Therapist</w:t>
      </w:r>
    </w:p>
    <w:p w14:paraId="1EF4EA18" w14:textId="35D197E3" w:rsidR="002353BF" w:rsidRDefault="002353BF" w:rsidP="001C4B4E">
      <w:pPr>
        <w:ind w:left="709" w:hanging="709"/>
        <w:rPr>
          <w:rFonts w:ascii="Arial" w:hAnsi="Arial" w:cs="Arial"/>
          <w:color w:val="000000"/>
          <w:sz w:val="24"/>
          <w:szCs w:val="24"/>
        </w:rPr>
      </w:pPr>
    </w:p>
    <w:p w14:paraId="6B602F4C" w14:textId="640355C4" w:rsidR="00F85B25" w:rsidRDefault="00F85B25" w:rsidP="001C4B4E">
      <w:pPr>
        <w:ind w:left="709" w:hanging="709"/>
        <w:rPr>
          <w:rFonts w:ascii="Arial" w:hAnsi="Arial" w:cs="Arial"/>
          <w:color w:val="000000"/>
          <w:sz w:val="24"/>
          <w:szCs w:val="24"/>
        </w:rPr>
      </w:pPr>
      <w:r>
        <w:rPr>
          <w:rFonts w:ascii="Arial" w:hAnsi="Arial" w:cs="Arial"/>
          <w:color w:val="000000"/>
          <w:sz w:val="24"/>
          <w:szCs w:val="24"/>
        </w:rPr>
        <w:tab/>
      </w:r>
    </w:p>
    <w:p w14:paraId="7A8AE67C" w14:textId="77777777" w:rsidR="00F85B25" w:rsidRPr="00F85B25" w:rsidRDefault="00F85B25" w:rsidP="00F85B25">
      <w:pPr>
        <w:pStyle w:val="Default"/>
      </w:pPr>
      <w:r>
        <w:rPr>
          <w:rFonts w:ascii="Arial" w:hAnsi="Arial" w:cs="Arial"/>
        </w:rPr>
        <w:tab/>
      </w:r>
    </w:p>
    <w:p w14:paraId="1FC34156" w14:textId="68D16A54" w:rsidR="00F85B25" w:rsidRPr="00F85B25" w:rsidRDefault="00F85B25" w:rsidP="00F85B25">
      <w:pPr>
        <w:pStyle w:val="Default"/>
      </w:pPr>
    </w:p>
    <w:p w14:paraId="231DFF01" w14:textId="50EBCAD0" w:rsidR="00F85B25" w:rsidRPr="001C4B4E" w:rsidRDefault="00F85B25" w:rsidP="001C4B4E">
      <w:pPr>
        <w:ind w:left="709" w:hanging="709"/>
        <w:rPr>
          <w:rFonts w:ascii="Arial" w:hAnsi="Arial" w:cs="Arial"/>
          <w:sz w:val="24"/>
          <w:szCs w:val="24"/>
        </w:rPr>
      </w:pPr>
    </w:p>
    <w:p w14:paraId="6049CBE3" w14:textId="0A1FA46D" w:rsidR="001C4B4E" w:rsidRPr="001C4B4E" w:rsidRDefault="001C4B4E" w:rsidP="001C4B4E">
      <w:pPr>
        <w:ind w:left="709" w:hanging="709"/>
        <w:rPr>
          <w:rFonts w:ascii="Arial" w:hAnsi="Arial" w:cs="Arial"/>
          <w:sz w:val="24"/>
          <w:szCs w:val="24"/>
        </w:rPr>
      </w:pPr>
      <w:r>
        <w:rPr>
          <w:rFonts w:ascii="Arial" w:hAnsi="Arial" w:cs="Arial"/>
          <w:sz w:val="24"/>
          <w:szCs w:val="24"/>
        </w:rPr>
        <w:tab/>
      </w:r>
    </w:p>
    <w:p w14:paraId="32DE0982" w14:textId="77777777" w:rsidR="001C4B4E" w:rsidRPr="001C4B4E" w:rsidRDefault="001C4B4E" w:rsidP="001C4B4E">
      <w:pPr>
        <w:autoSpaceDE w:val="0"/>
        <w:autoSpaceDN w:val="0"/>
        <w:adjustRightInd w:val="0"/>
        <w:rPr>
          <w:rFonts w:ascii="Tahoma" w:hAnsi="Tahoma" w:cs="Tahoma"/>
          <w:color w:val="000000"/>
          <w:sz w:val="24"/>
          <w:szCs w:val="24"/>
        </w:rPr>
      </w:pPr>
    </w:p>
    <w:p w14:paraId="09829201" w14:textId="76C5DD06" w:rsidR="001C4B4E" w:rsidRPr="00A87AD8" w:rsidRDefault="001C4B4E" w:rsidP="00A87AD8">
      <w:pPr>
        <w:ind w:left="709" w:hanging="709"/>
        <w:rPr>
          <w:rFonts w:ascii="Arial" w:hAnsi="Arial" w:cs="Arial"/>
          <w:sz w:val="24"/>
          <w:szCs w:val="24"/>
        </w:rPr>
      </w:pPr>
    </w:p>
    <w:p w14:paraId="5C2D3377" w14:textId="77777777" w:rsidR="008130F0" w:rsidRPr="00A87AD8" w:rsidRDefault="008130F0" w:rsidP="00A87AD8">
      <w:pPr>
        <w:ind w:left="709" w:hanging="709"/>
        <w:rPr>
          <w:rFonts w:ascii="Arial" w:eastAsia="Arial" w:hAnsi="Arial" w:cs="Arial"/>
          <w:sz w:val="24"/>
          <w:szCs w:val="24"/>
        </w:rPr>
      </w:pPr>
    </w:p>
    <w:p w14:paraId="2C6E98BD" w14:textId="3EA1A606" w:rsidR="00080EF1" w:rsidRDefault="00080EF1" w:rsidP="00A87AD8">
      <w:pPr>
        <w:rPr>
          <w:rFonts w:ascii="Arial" w:eastAsia="Arial" w:hAnsi="Arial" w:cs="Arial"/>
          <w:sz w:val="24"/>
          <w:szCs w:val="24"/>
        </w:rPr>
      </w:pPr>
    </w:p>
    <w:p w14:paraId="5A6B1164" w14:textId="588701AB" w:rsidR="00F539E9" w:rsidRDefault="00F539E9" w:rsidP="00A87AD8">
      <w:pPr>
        <w:rPr>
          <w:rFonts w:ascii="Arial" w:eastAsia="Arial" w:hAnsi="Arial" w:cs="Arial"/>
          <w:sz w:val="24"/>
          <w:szCs w:val="24"/>
        </w:rPr>
      </w:pPr>
    </w:p>
    <w:p w14:paraId="4E57DCE1" w14:textId="77777777" w:rsidR="00F539E9" w:rsidRPr="00A87AD8" w:rsidRDefault="00F539E9" w:rsidP="00A87AD8">
      <w:pPr>
        <w:rPr>
          <w:rFonts w:ascii="Arial" w:eastAsia="Arial" w:hAnsi="Arial" w:cs="Arial"/>
          <w:sz w:val="24"/>
          <w:szCs w:val="24"/>
        </w:rPr>
      </w:pPr>
    </w:p>
    <w:p w14:paraId="29695E06" w14:textId="79DBE158" w:rsidR="00DD5BD3" w:rsidRPr="00A87AD8" w:rsidRDefault="00220EBA" w:rsidP="00A87AD8">
      <w:pPr>
        <w:ind w:left="709" w:hanging="709"/>
        <w:rPr>
          <w:rFonts w:ascii="Arial" w:eastAsia="Times New Roman" w:hAnsi="Arial" w:cs="Arial"/>
          <w:bCs/>
          <w:i/>
          <w:sz w:val="24"/>
          <w:szCs w:val="24"/>
        </w:rPr>
      </w:pPr>
      <w:r w:rsidRPr="00A87AD8">
        <w:rPr>
          <w:rFonts w:ascii="Arial" w:eastAsia="Arial" w:hAnsi="Arial" w:cs="Arial"/>
          <w:b/>
          <w:color w:val="0070C0"/>
          <w:sz w:val="24"/>
          <w:szCs w:val="24"/>
        </w:rPr>
        <w:t>4.0</w:t>
      </w:r>
      <w:r w:rsidRPr="00A87AD8">
        <w:rPr>
          <w:rFonts w:ascii="Arial" w:eastAsia="Arial" w:hAnsi="Arial" w:cs="Arial"/>
          <w:color w:val="0070C0"/>
          <w:sz w:val="24"/>
          <w:szCs w:val="24"/>
        </w:rPr>
        <w:tab/>
      </w:r>
      <w:r w:rsidRPr="00A87AD8">
        <w:rPr>
          <w:rFonts w:ascii="Arial" w:eastAsia="Times New Roman" w:hAnsi="Arial" w:cs="Arial"/>
          <w:b/>
          <w:bCs/>
          <w:color w:val="0070C0"/>
          <w:sz w:val="24"/>
          <w:szCs w:val="24"/>
        </w:rPr>
        <w:t xml:space="preserve">ROLES </w:t>
      </w:r>
      <w:r w:rsidR="00E64CA2" w:rsidRPr="00A87AD8">
        <w:rPr>
          <w:rFonts w:ascii="Arial" w:eastAsia="Times New Roman" w:hAnsi="Arial" w:cs="Arial"/>
          <w:b/>
          <w:bCs/>
          <w:color w:val="0070C0"/>
          <w:sz w:val="24"/>
          <w:szCs w:val="24"/>
        </w:rPr>
        <w:t>AND</w:t>
      </w:r>
      <w:r w:rsidRPr="00A87AD8">
        <w:rPr>
          <w:rFonts w:ascii="Arial" w:eastAsia="Times New Roman" w:hAnsi="Arial" w:cs="Arial"/>
          <w:b/>
          <w:bCs/>
          <w:color w:val="0070C0"/>
          <w:sz w:val="24"/>
          <w:szCs w:val="24"/>
        </w:rPr>
        <w:t xml:space="preserve"> RESPONSIBILITIES</w:t>
      </w:r>
    </w:p>
    <w:p w14:paraId="7D0DCB76" w14:textId="6820FE9E" w:rsidR="00533B65" w:rsidRPr="00A87AD8" w:rsidRDefault="00533B65" w:rsidP="00A87AD8">
      <w:pPr>
        <w:ind w:left="709" w:hanging="709"/>
        <w:rPr>
          <w:rFonts w:ascii="Arial" w:eastAsia="Times New Roman" w:hAnsi="Arial" w:cs="Arial"/>
          <w:bCs/>
          <w:i/>
          <w:sz w:val="24"/>
          <w:szCs w:val="24"/>
        </w:rPr>
      </w:pPr>
    </w:p>
    <w:p w14:paraId="08CE89E8" w14:textId="77777777" w:rsidR="003069D4" w:rsidRPr="00A87AD8" w:rsidRDefault="003069D4" w:rsidP="00A87AD8">
      <w:pPr>
        <w:pStyle w:val="Default"/>
        <w:ind w:left="720"/>
        <w:rPr>
          <w:rFonts w:ascii="Arial" w:hAnsi="Arial" w:cs="Arial"/>
          <w:b/>
        </w:rPr>
      </w:pPr>
      <w:r w:rsidRPr="00A87AD8">
        <w:rPr>
          <w:rFonts w:ascii="Arial" w:hAnsi="Arial" w:cs="Arial"/>
          <w:b/>
        </w:rPr>
        <w:t>Trust Responsibilities</w:t>
      </w:r>
    </w:p>
    <w:p w14:paraId="54D4F52C" w14:textId="77777777" w:rsidR="003069D4" w:rsidRPr="00A87AD8" w:rsidRDefault="003069D4" w:rsidP="00A87AD8">
      <w:pPr>
        <w:ind w:left="709" w:hanging="709"/>
        <w:rPr>
          <w:rFonts w:ascii="Arial" w:eastAsia="Times New Roman" w:hAnsi="Arial" w:cs="Arial"/>
          <w:bCs/>
          <w:i/>
          <w:sz w:val="24"/>
          <w:szCs w:val="24"/>
        </w:rPr>
      </w:pPr>
    </w:p>
    <w:p w14:paraId="6200A394" w14:textId="070D6F09" w:rsidR="0030253C" w:rsidRPr="00A87AD8" w:rsidRDefault="004E7F13" w:rsidP="00A87AD8">
      <w:pPr>
        <w:ind w:left="709" w:hanging="709"/>
        <w:rPr>
          <w:rFonts w:ascii="Arial" w:eastAsia="Arial" w:hAnsi="Arial" w:cs="Arial"/>
          <w:sz w:val="24"/>
          <w:szCs w:val="24"/>
        </w:rPr>
      </w:pPr>
      <w:r w:rsidRPr="00A87AD8">
        <w:rPr>
          <w:rFonts w:ascii="Arial" w:eastAsia="Arial" w:hAnsi="Arial" w:cs="Arial"/>
          <w:sz w:val="24"/>
          <w:szCs w:val="24"/>
        </w:rPr>
        <w:t>4.1</w:t>
      </w:r>
      <w:r w:rsidR="006E776D" w:rsidRPr="00A87AD8">
        <w:rPr>
          <w:rFonts w:ascii="Arial" w:eastAsia="Arial" w:hAnsi="Arial" w:cs="Arial"/>
          <w:sz w:val="24"/>
          <w:szCs w:val="24"/>
        </w:rPr>
        <w:tab/>
      </w:r>
      <w:r w:rsidR="0030253C" w:rsidRPr="00A87AD8">
        <w:rPr>
          <w:rFonts w:ascii="Arial" w:hAnsi="Arial" w:cs="Arial"/>
          <w:sz w:val="24"/>
          <w:szCs w:val="24"/>
        </w:rPr>
        <w:t xml:space="preserve">The Trust Chief Executive has overall accountability for the effective and safe operation of the Trust, ensuring the safety and well-being of service users and others are </w:t>
      </w:r>
      <w:proofErr w:type="gramStart"/>
      <w:r w:rsidR="0030253C" w:rsidRPr="00A87AD8">
        <w:rPr>
          <w:rFonts w:ascii="Arial" w:hAnsi="Arial" w:cs="Arial"/>
          <w:sz w:val="24"/>
          <w:szCs w:val="24"/>
        </w:rPr>
        <w:t>taken fully into account at all times</w:t>
      </w:r>
      <w:proofErr w:type="gramEnd"/>
      <w:r w:rsidR="0030253C" w:rsidRPr="00A87AD8">
        <w:rPr>
          <w:rFonts w:ascii="Arial" w:hAnsi="Arial" w:cs="Arial"/>
          <w:sz w:val="24"/>
          <w:szCs w:val="24"/>
        </w:rPr>
        <w:t>.</w:t>
      </w:r>
    </w:p>
    <w:p w14:paraId="340EB757" w14:textId="588DF569" w:rsidR="0030253C" w:rsidRPr="00A87AD8" w:rsidRDefault="0030253C" w:rsidP="00A87AD8">
      <w:pPr>
        <w:autoSpaceDE w:val="0"/>
        <w:autoSpaceDN w:val="0"/>
        <w:adjustRightInd w:val="0"/>
        <w:ind w:left="709" w:hanging="709"/>
        <w:rPr>
          <w:rFonts w:ascii="Arial" w:eastAsia="Arial" w:hAnsi="Arial" w:cs="Arial"/>
          <w:sz w:val="24"/>
          <w:szCs w:val="24"/>
        </w:rPr>
      </w:pPr>
    </w:p>
    <w:p w14:paraId="590C987B" w14:textId="249E436A" w:rsidR="003069D4" w:rsidRPr="00A87AD8" w:rsidRDefault="003069D4" w:rsidP="00A87AD8">
      <w:pPr>
        <w:autoSpaceDE w:val="0"/>
        <w:autoSpaceDN w:val="0"/>
        <w:adjustRightInd w:val="0"/>
        <w:ind w:left="709" w:hanging="709"/>
        <w:rPr>
          <w:rFonts w:ascii="Arial" w:eastAsia="Arial" w:hAnsi="Arial" w:cs="Arial"/>
          <w:b/>
          <w:bCs/>
          <w:sz w:val="24"/>
          <w:szCs w:val="24"/>
        </w:rPr>
      </w:pPr>
      <w:r w:rsidRPr="00A87AD8">
        <w:rPr>
          <w:rFonts w:ascii="Arial" w:eastAsia="Arial" w:hAnsi="Arial" w:cs="Arial"/>
          <w:b/>
          <w:bCs/>
          <w:sz w:val="24"/>
          <w:szCs w:val="24"/>
        </w:rPr>
        <w:tab/>
        <w:t>Consultant / GPs Responsibilities</w:t>
      </w:r>
    </w:p>
    <w:p w14:paraId="3BB36A8C" w14:textId="77777777" w:rsidR="003069D4" w:rsidRPr="00A87AD8" w:rsidRDefault="003069D4" w:rsidP="00A87AD8">
      <w:pPr>
        <w:autoSpaceDE w:val="0"/>
        <w:autoSpaceDN w:val="0"/>
        <w:adjustRightInd w:val="0"/>
        <w:ind w:left="709" w:hanging="709"/>
        <w:rPr>
          <w:rFonts w:ascii="Arial" w:eastAsia="Arial" w:hAnsi="Arial" w:cs="Arial"/>
          <w:sz w:val="24"/>
          <w:szCs w:val="24"/>
        </w:rPr>
      </w:pPr>
    </w:p>
    <w:p w14:paraId="0FA4E6EA" w14:textId="41F31F5C" w:rsidR="003D1B9C" w:rsidRPr="00A87AD8" w:rsidRDefault="0030253C" w:rsidP="00A87AD8">
      <w:pPr>
        <w:autoSpaceDE w:val="0"/>
        <w:autoSpaceDN w:val="0"/>
        <w:adjustRightInd w:val="0"/>
        <w:ind w:left="709" w:hanging="709"/>
        <w:rPr>
          <w:rFonts w:ascii="Arial" w:hAnsi="Arial" w:cs="Arial"/>
          <w:color w:val="000000"/>
          <w:sz w:val="24"/>
          <w:szCs w:val="24"/>
        </w:rPr>
      </w:pPr>
      <w:r w:rsidRPr="00A87AD8">
        <w:rPr>
          <w:rFonts w:ascii="Arial" w:eastAsia="Arial" w:hAnsi="Arial" w:cs="Arial"/>
          <w:sz w:val="24"/>
          <w:szCs w:val="24"/>
        </w:rPr>
        <w:t>4.2</w:t>
      </w:r>
      <w:r w:rsidRPr="00A87AD8">
        <w:rPr>
          <w:rFonts w:ascii="Arial" w:eastAsia="Arial" w:hAnsi="Arial" w:cs="Arial"/>
          <w:b/>
          <w:bCs/>
          <w:sz w:val="24"/>
          <w:szCs w:val="24"/>
        </w:rPr>
        <w:tab/>
      </w:r>
      <w:r w:rsidR="003D1B9C" w:rsidRPr="00A87AD8">
        <w:rPr>
          <w:rFonts w:ascii="Arial" w:eastAsia="Arial" w:hAnsi="Arial" w:cs="Arial"/>
          <w:sz w:val="24"/>
          <w:szCs w:val="24"/>
        </w:rPr>
        <w:t>Consultants</w:t>
      </w:r>
      <w:r w:rsidR="003069D4" w:rsidRPr="00A87AD8">
        <w:rPr>
          <w:rFonts w:ascii="Arial" w:eastAsia="Arial" w:hAnsi="Arial" w:cs="Arial"/>
          <w:sz w:val="24"/>
          <w:szCs w:val="24"/>
        </w:rPr>
        <w:t xml:space="preserve"> </w:t>
      </w:r>
      <w:r w:rsidR="003D1B9C" w:rsidRPr="00A87AD8">
        <w:rPr>
          <w:rFonts w:ascii="Arial" w:eastAsia="Arial" w:hAnsi="Arial" w:cs="Arial"/>
          <w:sz w:val="24"/>
          <w:szCs w:val="24"/>
        </w:rPr>
        <w:t>/</w:t>
      </w:r>
      <w:r w:rsidR="003069D4" w:rsidRPr="00A87AD8">
        <w:rPr>
          <w:rFonts w:ascii="Arial" w:eastAsia="Arial" w:hAnsi="Arial" w:cs="Arial"/>
          <w:sz w:val="24"/>
          <w:szCs w:val="24"/>
        </w:rPr>
        <w:t xml:space="preserve"> </w:t>
      </w:r>
      <w:r w:rsidR="003D1B9C" w:rsidRPr="00A87AD8">
        <w:rPr>
          <w:rFonts w:ascii="Arial" w:eastAsia="Arial" w:hAnsi="Arial" w:cs="Arial"/>
          <w:sz w:val="24"/>
          <w:szCs w:val="24"/>
        </w:rPr>
        <w:t xml:space="preserve">GPs </w:t>
      </w:r>
      <w:r w:rsidR="003D1B9C" w:rsidRPr="00A87AD8">
        <w:rPr>
          <w:rFonts w:ascii="Arial" w:hAnsi="Arial" w:cs="Arial"/>
          <w:color w:val="000000"/>
          <w:sz w:val="24"/>
          <w:szCs w:val="24"/>
        </w:rPr>
        <w:t xml:space="preserve">have overriding responsibility of individuals under their care and therefore often make the decision, particularly within an inpatient setting (for those individuals lacking capacity), taking fully into account the individual’s wishes and the rest of the MDT’s views. </w:t>
      </w:r>
    </w:p>
    <w:p w14:paraId="2706F39A" w14:textId="77777777" w:rsidR="003069D4" w:rsidRPr="00A87AD8" w:rsidRDefault="003069D4" w:rsidP="00A87AD8">
      <w:pPr>
        <w:autoSpaceDE w:val="0"/>
        <w:autoSpaceDN w:val="0"/>
        <w:adjustRightInd w:val="0"/>
        <w:ind w:left="709" w:hanging="709"/>
        <w:rPr>
          <w:rFonts w:ascii="Arial" w:hAnsi="Arial" w:cs="Arial"/>
          <w:color w:val="000000"/>
          <w:sz w:val="24"/>
          <w:szCs w:val="24"/>
        </w:rPr>
      </w:pPr>
    </w:p>
    <w:p w14:paraId="3DE04F95" w14:textId="69C49F62" w:rsidR="003D1B9C" w:rsidRPr="00A87AD8" w:rsidRDefault="003D1B9C" w:rsidP="00A87AD8">
      <w:pPr>
        <w:pStyle w:val="Default"/>
        <w:ind w:left="709"/>
        <w:rPr>
          <w:rFonts w:ascii="Arial" w:hAnsi="Arial" w:cs="Arial"/>
        </w:rPr>
      </w:pPr>
      <w:r w:rsidRPr="00A87AD8">
        <w:rPr>
          <w:rFonts w:ascii="Arial" w:hAnsi="Arial" w:cs="Arial"/>
        </w:rPr>
        <w:t xml:space="preserve">The </w:t>
      </w:r>
      <w:r w:rsidR="003D0764" w:rsidRPr="00A87AD8">
        <w:rPr>
          <w:rFonts w:ascii="Arial" w:hAnsi="Arial" w:cs="Arial"/>
        </w:rPr>
        <w:t>C</w:t>
      </w:r>
      <w:r w:rsidRPr="00A87AD8">
        <w:rPr>
          <w:rFonts w:ascii="Arial" w:hAnsi="Arial" w:cs="Arial"/>
        </w:rPr>
        <w:t>onsultant or GP should consider the appropriateness for treatment escalation in the event of an anticipated decline in the person’s condition, whether they are in hospital or in their own home</w:t>
      </w:r>
      <w:r w:rsidR="00F539E9">
        <w:rPr>
          <w:rFonts w:ascii="Arial" w:hAnsi="Arial" w:cs="Arial"/>
        </w:rPr>
        <w:t xml:space="preserve"> </w:t>
      </w:r>
      <w:r w:rsidRPr="00A87AD8">
        <w:rPr>
          <w:rFonts w:ascii="Arial" w:hAnsi="Arial" w:cs="Arial"/>
        </w:rPr>
        <w:t>/</w:t>
      </w:r>
      <w:r w:rsidR="00F539E9">
        <w:rPr>
          <w:rFonts w:ascii="Arial" w:hAnsi="Arial" w:cs="Arial"/>
        </w:rPr>
        <w:t xml:space="preserve"> </w:t>
      </w:r>
      <w:r w:rsidRPr="00A87AD8">
        <w:rPr>
          <w:rFonts w:ascii="Arial" w:hAnsi="Arial" w:cs="Arial"/>
        </w:rPr>
        <w:t>care home.</w:t>
      </w:r>
    </w:p>
    <w:p w14:paraId="239E4EE8" w14:textId="50BC12FE" w:rsidR="00533B65" w:rsidRPr="00A87AD8" w:rsidRDefault="00533B65" w:rsidP="00A87AD8">
      <w:pPr>
        <w:pStyle w:val="Default"/>
        <w:ind w:left="709"/>
        <w:rPr>
          <w:rFonts w:ascii="Arial" w:hAnsi="Arial" w:cs="Arial"/>
          <w:b/>
          <w:bCs/>
        </w:rPr>
      </w:pPr>
    </w:p>
    <w:p w14:paraId="5A316F04" w14:textId="703DAD11" w:rsidR="003069D4" w:rsidRPr="00A87AD8" w:rsidRDefault="003069D4" w:rsidP="00A87AD8">
      <w:pPr>
        <w:pStyle w:val="Default"/>
        <w:ind w:left="709"/>
        <w:rPr>
          <w:rFonts w:ascii="Arial" w:hAnsi="Arial" w:cs="Arial"/>
          <w:b/>
          <w:bCs/>
        </w:rPr>
      </w:pPr>
      <w:r w:rsidRPr="00A87AD8">
        <w:rPr>
          <w:rFonts w:ascii="Arial" w:hAnsi="Arial" w:cs="Arial"/>
          <w:b/>
          <w:bCs/>
        </w:rPr>
        <w:t>Medical Practitioner Responsibilities</w:t>
      </w:r>
    </w:p>
    <w:p w14:paraId="11510015" w14:textId="77777777" w:rsidR="003069D4" w:rsidRPr="00A87AD8" w:rsidRDefault="003069D4" w:rsidP="00A87AD8">
      <w:pPr>
        <w:pStyle w:val="Default"/>
        <w:ind w:left="709"/>
        <w:rPr>
          <w:rFonts w:ascii="Arial" w:hAnsi="Arial" w:cs="Arial"/>
          <w:b/>
          <w:bCs/>
        </w:rPr>
      </w:pPr>
    </w:p>
    <w:p w14:paraId="06A7744E" w14:textId="760A09DF" w:rsidR="004E7F13" w:rsidRPr="00A87AD8" w:rsidRDefault="003D1B9C" w:rsidP="00A87AD8">
      <w:pPr>
        <w:ind w:left="709" w:hanging="709"/>
        <w:rPr>
          <w:rFonts w:ascii="Arial" w:eastAsia="Arial" w:hAnsi="Arial" w:cs="Arial"/>
          <w:sz w:val="24"/>
          <w:szCs w:val="24"/>
        </w:rPr>
      </w:pPr>
      <w:r w:rsidRPr="00A87AD8">
        <w:rPr>
          <w:rFonts w:ascii="Arial" w:eastAsia="Arial" w:hAnsi="Arial" w:cs="Arial"/>
          <w:sz w:val="24"/>
          <w:szCs w:val="24"/>
        </w:rPr>
        <w:t>4.</w:t>
      </w:r>
      <w:r w:rsidR="00533B65" w:rsidRPr="00A87AD8">
        <w:rPr>
          <w:rFonts w:ascii="Arial" w:eastAsia="Arial" w:hAnsi="Arial" w:cs="Arial"/>
          <w:sz w:val="24"/>
          <w:szCs w:val="24"/>
        </w:rPr>
        <w:t>3</w:t>
      </w:r>
      <w:r w:rsidRPr="00A87AD8">
        <w:rPr>
          <w:rFonts w:ascii="Arial" w:eastAsia="Arial" w:hAnsi="Arial" w:cs="Arial"/>
          <w:b/>
          <w:bCs/>
          <w:sz w:val="24"/>
          <w:szCs w:val="24"/>
        </w:rPr>
        <w:tab/>
      </w:r>
      <w:r w:rsidR="006E776D" w:rsidRPr="00A87AD8">
        <w:rPr>
          <w:rFonts w:ascii="Arial" w:eastAsia="Arial" w:hAnsi="Arial" w:cs="Arial"/>
          <w:sz w:val="24"/>
          <w:szCs w:val="24"/>
        </w:rPr>
        <w:t xml:space="preserve">Medical Practitioners are responsible for identifying risks relating to eating and drinking and making appropriate referrals to Speech and Language Therapy. Medical Practitioners will assess a person’s capacity to understand the identified risks and whether they have capacity to consent to a formal swallowing assessment. </w:t>
      </w:r>
      <w:r w:rsidR="00EB7EF6" w:rsidRPr="00A87AD8">
        <w:rPr>
          <w:rFonts w:ascii="Arial" w:eastAsia="Arial" w:hAnsi="Arial" w:cs="Arial"/>
          <w:sz w:val="24"/>
          <w:szCs w:val="24"/>
        </w:rPr>
        <w:t xml:space="preserve"> </w:t>
      </w:r>
      <w:r w:rsidR="006E776D" w:rsidRPr="00A87AD8">
        <w:rPr>
          <w:rFonts w:ascii="Arial" w:eastAsia="Arial" w:hAnsi="Arial" w:cs="Arial"/>
          <w:sz w:val="24"/>
          <w:szCs w:val="24"/>
        </w:rPr>
        <w:t>Medical Practitioners are responsible for communicating decisions relating to eating and drinking with acknowledged risk in letters</w:t>
      </w:r>
      <w:r w:rsidR="00E64CA2">
        <w:rPr>
          <w:rFonts w:ascii="Arial" w:eastAsia="Arial" w:hAnsi="Arial" w:cs="Arial"/>
          <w:sz w:val="24"/>
          <w:szCs w:val="24"/>
        </w:rPr>
        <w:t xml:space="preserve"> </w:t>
      </w:r>
      <w:r w:rsidR="006E776D" w:rsidRPr="00A87AD8">
        <w:rPr>
          <w:rFonts w:ascii="Arial" w:eastAsia="Arial" w:hAnsi="Arial" w:cs="Arial"/>
          <w:sz w:val="24"/>
          <w:szCs w:val="24"/>
        </w:rPr>
        <w:t>/</w:t>
      </w:r>
      <w:r w:rsidR="00E64CA2">
        <w:rPr>
          <w:rFonts w:ascii="Arial" w:eastAsia="Arial" w:hAnsi="Arial" w:cs="Arial"/>
          <w:sz w:val="24"/>
          <w:szCs w:val="24"/>
        </w:rPr>
        <w:t xml:space="preserve"> </w:t>
      </w:r>
      <w:r w:rsidR="006E776D" w:rsidRPr="00A87AD8">
        <w:rPr>
          <w:rFonts w:ascii="Arial" w:eastAsia="Arial" w:hAnsi="Arial" w:cs="Arial"/>
          <w:sz w:val="24"/>
          <w:szCs w:val="24"/>
        </w:rPr>
        <w:t>correspondence</w:t>
      </w:r>
      <w:r w:rsidR="007E04F8" w:rsidRPr="00A87AD8">
        <w:rPr>
          <w:rFonts w:ascii="Arial" w:eastAsia="Arial" w:hAnsi="Arial" w:cs="Arial"/>
          <w:sz w:val="24"/>
          <w:szCs w:val="24"/>
        </w:rPr>
        <w:t>.</w:t>
      </w:r>
    </w:p>
    <w:p w14:paraId="45C7E966" w14:textId="77777777" w:rsidR="003069D4" w:rsidRPr="00A87AD8" w:rsidRDefault="003069D4" w:rsidP="00A87AD8">
      <w:pPr>
        <w:pStyle w:val="Default"/>
        <w:ind w:left="709" w:hanging="709"/>
        <w:rPr>
          <w:rFonts w:ascii="Arial" w:hAnsi="Arial" w:cs="Arial"/>
        </w:rPr>
      </w:pPr>
    </w:p>
    <w:p w14:paraId="3948BFC3" w14:textId="6C4FA05C"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Speech And Language Therapy Responsibilities </w:t>
      </w:r>
    </w:p>
    <w:p w14:paraId="524B9966" w14:textId="77777777" w:rsidR="003069D4" w:rsidRPr="00A87AD8" w:rsidRDefault="003069D4" w:rsidP="00A87AD8">
      <w:pPr>
        <w:ind w:left="709" w:hanging="709"/>
        <w:rPr>
          <w:rFonts w:ascii="Arial" w:eastAsia="Arial" w:hAnsi="Arial" w:cs="Arial"/>
          <w:sz w:val="24"/>
          <w:szCs w:val="24"/>
        </w:rPr>
      </w:pPr>
    </w:p>
    <w:p w14:paraId="61258B7B" w14:textId="57D3D3B4" w:rsidR="004E7F13" w:rsidRPr="00A87AD8" w:rsidRDefault="004E7F13" w:rsidP="00A87AD8">
      <w:pPr>
        <w:ind w:left="709" w:hanging="709"/>
        <w:rPr>
          <w:rFonts w:ascii="Arial" w:eastAsia="Arial" w:hAnsi="Arial" w:cs="Arial"/>
          <w:sz w:val="24"/>
          <w:szCs w:val="24"/>
        </w:rPr>
      </w:pPr>
      <w:r w:rsidRPr="00A87AD8">
        <w:rPr>
          <w:rFonts w:ascii="Arial" w:eastAsia="Arial" w:hAnsi="Arial" w:cs="Arial"/>
          <w:sz w:val="24"/>
          <w:szCs w:val="24"/>
        </w:rPr>
        <w:t>4.</w:t>
      </w:r>
      <w:r w:rsidR="00533B65" w:rsidRPr="00A87AD8">
        <w:rPr>
          <w:rFonts w:ascii="Arial" w:eastAsia="Arial" w:hAnsi="Arial" w:cs="Arial"/>
          <w:sz w:val="24"/>
          <w:szCs w:val="24"/>
        </w:rPr>
        <w:t>4</w:t>
      </w:r>
      <w:r w:rsidRPr="00A87AD8">
        <w:rPr>
          <w:rFonts w:ascii="Arial" w:eastAsia="Arial" w:hAnsi="Arial" w:cs="Arial"/>
          <w:sz w:val="24"/>
          <w:szCs w:val="24"/>
        </w:rPr>
        <w:tab/>
      </w:r>
      <w:bookmarkStart w:id="1" w:name="_Hlk96584839"/>
      <w:r w:rsidR="006E776D" w:rsidRPr="00A87AD8">
        <w:rPr>
          <w:rFonts w:ascii="Arial" w:eastAsia="Arial" w:hAnsi="Arial" w:cs="Arial"/>
          <w:sz w:val="24"/>
          <w:szCs w:val="24"/>
        </w:rPr>
        <w:t>Speech and Language Therapists are responsible for carrying out a formal assessment of swallowing, which could include a bedside swallowing assessment and</w:t>
      </w:r>
      <w:r w:rsidR="00EB7EF6" w:rsidRPr="00A87AD8">
        <w:rPr>
          <w:rFonts w:ascii="Arial" w:eastAsia="Arial" w:hAnsi="Arial" w:cs="Arial"/>
          <w:sz w:val="24"/>
          <w:szCs w:val="24"/>
        </w:rPr>
        <w:t xml:space="preserve"> </w:t>
      </w:r>
      <w:r w:rsidR="006E776D" w:rsidRPr="00A87AD8">
        <w:rPr>
          <w:rFonts w:ascii="Arial" w:eastAsia="Arial" w:hAnsi="Arial" w:cs="Arial"/>
          <w:sz w:val="24"/>
          <w:szCs w:val="24"/>
        </w:rPr>
        <w:t>/</w:t>
      </w:r>
      <w:r w:rsidR="00EB7EF6" w:rsidRPr="00A87AD8">
        <w:rPr>
          <w:rFonts w:ascii="Arial" w:eastAsia="Arial" w:hAnsi="Arial" w:cs="Arial"/>
          <w:sz w:val="24"/>
          <w:szCs w:val="24"/>
        </w:rPr>
        <w:t xml:space="preserve"> </w:t>
      </w:r>
      <w:r w:rsidR="006E776D" w:rsidRPr="00A87AD8">
        <w:rPr>
          <w:rFonts w:ascii="Arial" w:eastAsia="Arial" w:hAnsi="Arial" w:cs="Arial"/>
          <w:sz w:val="24"/>
          <w:szCs w:val="24"/>
        </w:rPr>
        <w:t xml:space="preserve">or an objective assessment such as </w:t>
      </w:r>
      <w:r w:rsidR="00EB7EF6" w:rsidRPr="00A87AD8">
        <w:rPr>
          <w:rFonts w:ascii="Arial" w:eastAsia="Arial" w:hAnsi="Arial" w:cs="Arial"/>
          <w:sz w:val="24"/>
          <w:szCs w:val="24"/>
        </w:rPr>
        <w:t>videofluoroscopy</w:t>
      </w:r>
      <w:r w:rsidR="006E776D" w:rsidRPr="00A87AD8">
        <w:rPr>
          <w:rFonts w:ascii="Arial" w:eastAsia="Arial" w:hAnsi="Arial" w:cs="Arial"/>
          <w:sz w:val="24"/>
          <w:szCs w:val="24"/>
        </w:rPr>
        <w:t xml:space="preserve"> or FEES. </w:t>
      </w:r>
      <w:r w:rsidR="00F539E9">
        <w:rPr>
          <w:rFonts w:ascii="Arial" w:eastAsia="Arial" w:hAnsi="Arial" w:cs="Arial"/>
          <w:sz w:val="24"/>
          <w:szCs w:val="24"/>
        </w:rPr>
        <w:t xml:space="preserve"> </w:t>
      </w:r>
      <w:r w:rsidR="006E776D" w:rsidRPr="00A87AD8">
        <w:rPr>
          <w:rFonts w:ascii="Arial" w:eastAsia="Arial" w:hAnsi="Arial" w:cs="Arial"/>
          <w:sz w:val="24"/>
          <w:szCs w:val="24"/>
        </w:rPr>
        <w:t xml:space="preserve">Speech and Language Therapists advise the person with dysphagia </w:t>
      </w:r>
      <w:r w:rsidR="003D1B9C" w:rsidRPr="00A87AD8">
        <w:rPr>
          <w:rFonts w:ascii="Arial" w:eastAsia="Arial" w:hAnsi="Arial" w:cs="Arial"/>
          <w:sz w:val="24"/>
          <w:szCs w:val="24"/>
        </w:rPr>
        <w:t xml:space="preserve">(and the multi professional team involved in their care) </w:t>
      </w:r>
      <w:r w:rsidR="006E776D" w:rsidRPr="00A87AD8">
        <w:rPr>
          <w:rFonts w:ascii="Arial" w:eastAsia="Arial" w:hAnsi="Arial" w:cs="Arial"/>
          <w:sz w:val="24"/>
          <w:szCs w:val="24"/>
        </w:rPr>
        <w:t>on the safety of their swallowing</w:t>
      </w:r>
      <w:r w:rsidR="0030253C" w:rsidRPr="00A87AD8">
        <w:rPr>
          <w:rFonts w:ascii="Arial" w:eastAsia="Arial" w:hAnsi="Arial" w:cs="Arial"/>
          <w:sz w:val="24"/>
          <w:szCs w:val="24"/>
        </w:rPr>
        <w:t>, level of risk associated with eating and drinking and</w:t>
      </w:r>
      <w:r w:rsidR="006E776D" w:rsidRPr="00A87AD8">
        <w:rPr>
          <w:rFonts w:ascii="Arial" w:eastAsia="Arial" w:hAnsi="Arial" w:cs="Arial"/>
          <w:sz w:val="24"/>
          <w:szCs w:val="24"/>
        </w:rPr>
        <w:t xml:space="preserve"> with recommendations to minimise the risks associated with </w:t>
      </w:r>
      <w:r w:rsidR="0030253C" w:rsidRPr="00A87AD8">
        <w:rPr>
          <w:rFonts w:ascii="Arial" w:eastAsia="Arial" w:hAnsi="Arial" w:cs="Arial"/>
          <w:sz w:val="24"/>
          <w:szCs w:val="24"/>
        </w:rPr>
        <w:t>continued eating and drinking.</w:t>
      </w:r>
      <w:r w:rsidR="003D1B9C" w:rsidRPr="00A87AD8">
        <w:rPr>
          <w:rFonts w:ascii="Arial" w:eastAsia="Arial" w:hAnsi="Arial" w:cs="Arial"/>
          <w:sz w:val="24"/>
          <w:szCs w:val="24"/>
        </w:rPr>
        <w:t xml:space="preserve"> </w:t>
      </w:r>
      <w:r w:rsidR="00EB7EF6" w:rsidRPr="00A87AD8">
        <w:rPr>
          <w:rFonts w:ascii="Arial" w:eastAsia="Arial" w:hAnsi="Arial" w:cs="Arial"/>
          <w:sz w:val="24"/>
          <w:szCs w:val="24"/>
        </w:rPr>
        <w:t xml:space="preserve"> </w:t>
      </w:r>
      <w:r w:rsidR="00DD5BD3" w:rsidRPr="00A87AD8">
        <w:rPr>
          <w:rFonts w:ascii="Arial" w:eastAsia="Arial" w:hAnsi="Arial" w:cs="Arial"/>
          <w:sz w:val="24"/>
          <w:szCs w:val="24"/>
        </w:rPr>
        <w:t xml:space="preserve">Speech and Language Therapists discuss </w:t>
      </w:r>
      <w:r w:rsidR="000366E0" w:rsidRPr="00A87AD8">
        <w:rPr>
          <w:rFonts w:ascii="Arial" w:hAnsi="Arial" w:cs="Arial"/>
          <w:sz w:val="24"/>
          <w:szCs w:val="24"/>
        </w:rPr>
        <w:t xml:space="preserve">Clinically-assisted nutrition and hydration (CANH) options with the individual if appropriate. </w:t>
      </w:r>
      <w:r w:rsidR="003D1B9C" w:rsidRPr="00A87AD8">
        <w:rPr>
          <w:rFonts w:ascii="Arial" w:eastAsia="Arial" w:hAnsi="Arial" w:cs="Arial"/>
          <w:sz w:val="24"/>
          <w:szCs w:val="24"/>
        </w:rPr>
        <w:t>Speech and Language Therapists have a shared responsibility with the medical team and</w:t>
      </w:r>
      <w:r w:rsidR="00EB7EF6" w:rsidRPr="00A87AD8">
        <w:rPr>
          <w:rFonts w:ascii="Arial" w:eastAsia="Arial" w:hAnsi="Arial" w:cs="Arial"/>
          <w:sz w:val="24"/>
          <w:szCs w:val="24"/>
        </w:rPr>
        <w:t xml:space="preserve"> </w:t>
      </w:r>
      <w:r w:rsidR="003D1B9C" w:rsidRPr="00A87AD8">
        <w:rPr>
          <w:rFonts w:ascii="Arial" w:eastAsia="Arial" w:hAnsi="Arial" w:cs="Arial"/>
          <w:sz w:val="24"/>
          <w:szCs w:val="24"/>
        </w:rPr>
        <w:t>/</w:t>
      </w:r>
      <w:r w:rsidR="00EB7EF6" w:rsidRPr="00A87AD8">
        <w:rPr>
          <w:rFonts w:ascii="Arial" w:eastAsia="Arial" w:hAnsi="Arial" w:cs="Arial"/>
          <w:sz w:val="24"/>
          <w:szCs w:val="24"/>
        </w:rPr>
        <w:t xml:space="preserve"> </w:t>
      </w:r>
      <w:r w:rsidR="003D1B9C" w:rsidRPr="00A87AD8">
        <w:rPr>
          <w:rFonts w:ascii="Arial" w:eastAsia="Arial" w:hAnsi="Arial" w:cs="Arial"/>
          <w:sz w:val="24"/>
          <w:szCs w:val="24"/>
        </w:rPr>
        <w:t xml:space="preserve">or other relevant professionals for assessing capacity to understand and follow swallowing </w:t>
      </w:r>
      <w:r w:rsidR="00952DFC" w:rsidRPr="00A87AD8">
        <w:rPr>
          <w:rFonts w:ascii="Arial" w:eastAsia="Arial" w:hAnsi="Arial" w:cs="Arial"/>
          <w:sz w:val="24"/>
          <w:szCs w:val="24"/>
        </w:rPr>
        <w:t>recommendations and</w:t>
      </w:r>
      <w:r w:rsidR="003D1B9C" w:rsidRPr="00A87AD8">
        <w:rPr>
          <w:rFonts w:ascii="Arial" w:eastAsia="Arial" w:hAnsi="Arial" w:cs="Arial"/>
          <w:sz w:val="24"/>
          <w:szCs w:val="24"/>
        </w:rPr>
        <w:t xml:space="preserve"> assessing capacity to consent to CAN</w:t>
      </w:r>
      <w:r w:rsidR="00F539E9">
        <w:rPr>
          <w:rFonts w:ascii="Arial" w:eastAsia="Arial" w:hAnsi="Arial" w:cs="Arial"/>
          <w:sz w:val="24"/>
          <w:szCs w:val="24"/>
        </w:rPr>
        <w:t>H</w:t>
      </w:r>
      <w:r w:rsidR="003D1B9C" w:rsidRPr="00A87AD8">
        <w:rPr>
          <w:rFonts w:ascii="Arial" w:eastAsia="Arial" w:hAnsi="Arial" w:cs="Arial"/>
          <w:sz w:val="24"/>
          <w:szCs w:val="24"/>
        </w:rPr>
        <w:t>.</w:t>
      </w:r>
    </w:p>
    <w:p w14:paraId="3AD1FD2D" w14:textId="77777777" w:rsidR="003069D4" w:rsidRPr="00A87AD8" w:rsidRDefault="003069D4" w:rsidP="00A87AD8">
      <w:pPr>
        <w:pStyle w:val="Default"/>
        <w:ind w:left="709" w:hanging="709"/>
        <w:rPr>
          <w:rFonts w:ascii="Arial" w:hAnsi="Arial" w:cs="Arial"/>
        </w:rPr>
      </w:pPr>
    </w:p>
    <w:p w14:paraId="4F05C9B7" w14:textId="607303F2"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Dietitians Responsibilities </w:t>
      </w:r>
    </w:p>
    <w:p w14:paraId="773793BA" w14:textId="77777777" w:rsidR="00533B65" w:rsidRPr="00A87AD8" w:rsidRDefault="00533B65" w:rsidP="00A87AD8">
      <w:pPr>
        <w:ind w:left="709" w:hanging="709"/>
        <w:rPr>
          <w:rFonts w:ascii="Arial" w:eastAsia="Arial" w:hAnsi="Arial" w:cs="Arial"/>
          <w:sz w:val="24"/>
          <w:szCs w:val="24"/>
        </w:rPr>
      </w:pPr>
    </w:p>
    <w:p w14:paraId="5CF54113" w14:textId="3617E3F2" w:rsidR="003D1B9C" w:rsidRPr="00A87AD8" w:rsidRDefault="004E7F13" w:rsidP="00A87AD8">
      <w:pPr>
        <w:autoSpaceDE w:val="0"/>
        <w:autoSpaceDN w:val="0"/>
        <w:adjustRightInd w:val="0"/>
        <w:ind w:left="709" w:hanging="709"/>
        <w:rPr>
          <w:rFonts w:ascii="Arial" w:hAnsi="Arial" w:cs="Arial"/>
          <w:color w:val="000000"/>
          <w:sz w:val="24"/>
          <w:szCs w:val="24"/>
        </w:rPr>
      </w:pPr>
      <w:r w:rsidRPr="00A87AD8">
        <w:rPr>
          <w:rFonts w:ascii="Arial" w:eastAsia="Arial" w:hAnsi="Arial" w:cs="Arial"/>
          <w:sz w:val="24"/>
          <w:szCs w:val="24"/>
        </w:rPr>
        <w:lastRenderedPageBreak/>
        <w:t>4.</w:t>
      </w:r>
      <w:r w:rsidR="00533B65" w:rsidRPr="00A87AD8">
        <w:rPr>
          <w:rFonts w:ascii="Arial" w:eastAsia="Arial" w:hAnsi="Arial" w:cs="Arial"/>
          <w:sz w:val="24"/>
          <w:szCs w:val="24"/>
        </w:rPr>
        <w:t>5</w:t>
      </w:r>
      <w:r w:rsidR="003D1B9C" w:rsidRPr="00A87AD8">
        <w:rPr>
          <w:rFonts w:ascii="Arial" w:eastAsia="Arial" w:hAnsi="Arial" w:cs="Arial"/>
          <w:sz w:val="24"/>
          <w:szCs w:val="24"/>
        </w:rPr>
        <w:tab/>
        <w:t xml:space="preserve">Dietitians are responsible for </w:t>
      </w:r>
      <w:r w:rsidR="003D1B9C" w:rsidRPr="00A87AD8">
        <w:rPr>
          <w:rFonts w:ascii="Arial" w:hAnsi="Arial" w:cs="Arial"/>
          <w:color w:val="000000"/>
          <w:sz w:val="24"/>
          <w:szCs w:val="24"/>
        </w:rPr>
        <w:t>supporting the individual to optimise their nutritional intake</w:t>
      </w:r>
      <w:r w:rsidR="0030253C" w:rsidRPr="00A87AD8">
        <w:rPr>
          <w:rFonts w:ascii="Arial" w:hAnsi="Arial" w:cs="Arial"/>
          <w:color w:val="000000"/>
          <w:sz w:val="24"/>
          <w:szCs w:val="24"/>
        </w:rPr>
        <w:t xml:space="preserve">, regardless of whether an individual has made an informed decision (or a Best Interest Decision has been documented) to continue eating and drinking orally with acknowledged risk. </w:t>
      </w:r>
      <w:r w:rsidR="00EB7EF6" w:rsidRPr="00A87AD8">
        <w:rPr>
          <w:rFonts w:ascii="Arial" w:hAnsi="Arial" w:cs="Arial"/>
          <w:color w:val="000000"/>
          <w:sz w:val="24"/>
          <w:szCs w:val="24"/>
        </w:rPr>
        <w:t xml:space="preserve"> </w:t>
      </w:r>
      <w:r w:rsidR="003D1B9C" w:rsidRPr="00A87AD8">
        <w:rPr>
          <w:rFonts w:ascii="Arial" w:hAnsi="Arial" w:cs="Arial"/>
          <w:color w:val="000000"/>
          <w:sz w:val="24"/>
          <w:szCs w:val="24"/>
        </w:rPr>
        <w:t xml:space="preserve">Dietitians are responsible for assessing the candidacy of the person for alternative nutrition and hydration options. </w:t>
      </w:r>
    </w:p>
    <w:p w14:paraId="4B97C836" w14:textId="77777777" w:rsidR="00533B65" w:rsidRPr="00A87AD8" w:rsidRDefault="00533B65" w:rsidP="00A87AD8">
      <w:pPr>
        <w:autoSpaceDE w:val="0"/>
        <w:autoSpaceDN w:val="0"/>
        <w:adjustRightInd w:val="0"/>
        <w:ind w:left="709" w:hanging="709"/>
        <w:rPr>
          <w:rFonts w:ascii="Arial" w:hAnsi="Arial" w:cs="Arial"/>
          <w:color w:val="000000"/>
          <w:sz w:val="24"/>
          <w:szCs w:val="24"/>
        </w:rPr>
      </w:pPr>
    </w:p>
    <w:p w14:paraId="47CE6BD7" w14:textId="06D5ED1C" w:rsidR="003D1B9C" w:rsidRPr="00A87AD8" w:rsidRDefault="0030253C" w:rsidP="00A87AD8">
      <w:pPr>
        <w:autoSpaceDE w:val="0"/>
        <w:autoSpaceDN w:val="0"/>
        <w:adjustRightInd w:val="0"/>
        <w:ind w:left="720"/>
        <w:rPr>
          <w:rFonts w:ascii="Arial" w:hAnsi="Arial" w:cs="Arial"/>
          <w:color w:val="000000"/>
          <w:sz w:val="24"/>
          <w:szCs w:val="24"/>
        </w:rPr>
      </w:pPr>
      <w:r w:rsidRPr="00A87AD8">
        <w:rPr>
          <w:rFonts w:ascii="Arial" w:hAnsi="Arial" w:cs="Arial"/>
          <w:color w:val="000000"/>
          <w:sz w:val="24"/>
          <w:szCs w:val="24"/>
        </w:rPr>
        <w:t>Dietitians s</w:t>
      </w:r>
      <w:r w:rsidR="003D1B9C" w:rsidRPr="00A87AD8">
        <w:rPr>
          <w:rFonts w:ascii="Arial" w:hAnsi="Arial" w:cs="Arial"/>
          <w:color w:val="000000"/>
          <w:sz w:val="24"/>
          <w:szCs w:val="24"/>
        </w:rPr>
        <w:t xml:space="preserve">upport other members of the MDT regarding the development and implementation of the individual’s nutrition and hydration care plan. </w:t>
      </w:r>
    </w:p>
    <w:p w14:paraId="57F600D2" w14:textId="77777777" w:rsidR="00533B65" w:rsidRPr="00A87AD8" w:rsidRDefault="00533B65" w:rsidP="00A87AD8">
      <w:pPr>
        <w:autoSpaceDE w:val="0"/>
        <w:autoSpaceDN w:val="0"/>
        <w:adjustRightInd w:val="0"/>
        <w:ind w:left="720"/>
        <w:rPr>
          <w:rFonts w:ascii="Arial" w:hAnsi="Arial" w:cs="Arial"/>
          <w:color w:val="000000"/>
          <w:sz w:val="24"/>
          <w:szCs w:val="24"/>
        </w:rPr>
      </w:pPr>
    </w:p>
    <w:bookmarkEnd w:id="1"/>
    <w:p w14:paraId="78D13106" w14:textId="069EE6DA" w:rsidR="00DD5BD3" w:rsidRPr="00A87AD8" w:rsidRDefault="003D1B9C" w:rsidP="00E64CA2">
      <w:pPr>
        <w:pStyle w:val="Default"/>
        <w:ind w:left="720" w:right="-154"/>
        <w:rPr>
          <w:rFonts w:ascii="Arial" w:eastAsia="Arial" w:hAnsi="Arial" w:cs="Arial"/>
        </w:rPr>
      </w:pPr>
      <w:r w:rsidRPr="00A87AD8">
        <w:rPr>
          <w:rFonts w:ascii="Arial" w:eastAsia="Arial" w:hAnsi="Arial" w:cs="Arial"/>
        </w:rPr>
        <w:tab/>
      </w:r>
    </w:p>
    <w:p w14:paraId="5BEFAA87" w14:textId="5A46199D"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Nurses Responsibilities </w:t>
      </w:r>
    </w:p>
    <w:p w14:paraId="15B500E2" w14:textId="77777777" w:rsidR="003069D4" w:rsidRPr="00A87AD8" w:rsidRDefault="003069D4" w:rsidP="00A87AD8">
      <w:pPr>
        <w:pStyle w:val="Default"/>
        <w:ind w:firstLine="720"/>
        <w:rPr>
          <w:rFonts w:ascii="Arial" w:eastAsia="Arial" w:hAnsi="Arial" w:cs="Arial"/>
        </w:rPr>
      </w:pPr>
    </w:p>
    <w:p w14:paraId="619663EC" w14:textId="1BC3AB89" w:rsidR="00533B65" w:rsidRPr="00A87AD8" w:rsidRDefault="00DD5BD3" w:rsidP="00A87AD8">
      <w:pPr>
        <w:pStyle w:val="Default"/>
        <w:ind w:left="720" w:hanging="720"/>
        <w:rPr>
          <w:rFonts w:ascii="Arial" w:eastAsia="Arial" w:hAnsi="Arial" w:cs="Arial"/>
        </w:rPr>
      </w:pPr>
      <w:r w:rsidRPr="00A87AD8">
        <w:rPr>
          <w:rFonts w:ascii="Arial" w:eastAsia="Arial" w:hAnsi="Arial" w:cs="Arial"/>
        </w:rPr>
        <w:t>4.</w:t>
      </w:r>
      <w:r w:rsidR="00533B65" w:rsidRPr="00A87AD8">
        <w:rPr>
          <w:rFonts w:ascii="Arial" w:eastAsia="Arial" w:hAnsi="Arial" w:cs="Arial"/>
        </w:rPr>
        <w:t>6</w:t>
      </w:r>
      <w:r w:rsidRPr="00A87AD8">
        <w:rPr>
          <w:rFonts w:ascii="Arial" w:eastAsia="Arial" w:hAnsi="Arial" w:cs="Arial"/>
        </w:rPr>
        <w:tab/>
        <w:t>Nurses use professional judgement to identify if an individual is likely to be a candidate for eating and drinking with acknowledged risks and highlight to the medical professional and</w:t>
      </w:r>
      <w:r w:rsidR="00EB7EF6" w:rsidRPr="00A87AD8">
        <w:rPr>
          <w:rFonts w:ascii="Arial" w:eastAsia="Arial" w:hAnsi="Arial" w:cs="Arial"/>
        </w:rPr>
        <w:t xml:space="preserve"> </w:t>
      </w:r>
      <w:r w:rsidRPr="00A87AD8">
        <w:rPr>
          <w:rFonts w:ascii="Arial" w:eastAsia="Arial" w:hAnsi="Arial" w:cs="Arial"/>
        </w:rPr>
        <w:t>/</w:t>
      </w:r>
      <w:r w:rsidR="00EB7EF6" w:rsidRPr="00A87AD8">
        <w:rPr>
          <w:rFonts w:ascii="Arial" w:eastAsia="Arial" w:hAnsi="Arial" w:cs="Arial"/>
        </w:rPr>
        <w:t xml:space="preserve"> </w:t>
      </w:r>
      <w:r w:rsidRPr="00A87AD8">
        <w:rPr>
          <w:rFonts w:ascii="Arial" w:eastAsia="Arial" w:hAnsi="Arial" w:cs="Arial"/>
        </w:rPr>
        <w:t xml:space="preserve">or Speech and Language Therapist. </w:t>
      </w:r>
      <w:r w:rsidR="00EB7EF6" w:rsidRPr="00A87AD8">
        <w:rPr>
          <w:rFonts w:ascii="Arial" w:eastAsia="Arial" w:hAnsi="Arial" w:cs="Arial"/>
        </w:rPr>
        <w:t xml:space="preserve"> </w:t>
      </w:r>
      <w:r w:rsidRPr="00A87AD8">
        <w:rPr>
          <w:rFonts w:ascii="Arial" w:eastAsia="Arial" w:hAnsi="Arial" w:cs="Arial"/>
        </w:rPr>
        <w:t xml:space="preserve">Nurses are responsible for ensuring the eating and drinking with acknowledged risk care plan is followed including scrupulous mouth care and optimal positioning. </w:t>
      </w:r>
    </w:p>
    <w:p w14:paraId="27578AF0" w14:textId="77777777" w:rsidR="00533B65" w:rsidRPr="00A87AD8" w:rsidRDefault="00533B65" w:rsidP="00A87AD8">
      <w:pPr>
        <w:pStyle w:val="Default"/>
        <w:ind w:left="720" w:hanging="720"/>
        <w:rPr>
          <w:rFonts w:ascii="Arial" w:eastAsia="Arial" w:hAnsi="Arial" w:cs="Arial"/>
        </w:rPr>
      </w:pPr>
    </w:p>
    <w:p w14:paraId="32D802F6" w14:textId="77777777" w:rsidR="00533B65" w:rsidRPr="00A87AD8" w:rsidRDefault="00DD5BD3" w:rsidP="00A87AD8">
      <w:pPr>
        <w:pStyle w:val="Default"/>
        <w:ind w:left="720"/>
        <w:rPr>
          <w:rFonts w:ascii="Arial" w:eastAsia="Arial" w:hAnsi="Arial" w:cs="Arial"/>
        </w:rPr>
      </w:pPr>
      <w:r w:rsidRPr="00A87AD8">
        <w:rPr>
          <w:rFonts w:ascii="Arial" w:eastAsia="Arial" w:hAnsi="Arial" w:cs="Arial"/>
        </w:rPr>
        <w:t xml:space="preserve">Nurses act as the person’s advocate, evaluating care and risk managing situations in conjunction with medical colleagues, the </w:t>
      </w:r>
      <w:proofErr w:type="gramStart"/>
      <w:r w:rsidRPr="00A87AD8">
        <w:rPr>
          <w:rFonts w:ascii="Arial" w:eastAsia="Arial" w:hAnsi="Arial" w:cs="Arial"/>
        </w:rPr>
        <w:t>person</w:t>
      </w:r>
      <w:proofErr w:type="gramEnd"/>
      <w:r w:rsidRPr="00A87AD8">
        <w:rPr>
          <w:rFonts w:ascii="Arial" w:eastAsia="Arial" w:hAnsi="Arial" w:cs="Arial"/>
        </w:rPr>
        <w:t xml:space="preserve"> and their family. </w:t>
      </w:r>
    </w:p>
    <w:p w14:paraId="3EA1641A" w14:textId="77777777" w:rsidR="00533B65" w:rsidRPr="00A87AD8" w:rsidRDefault="00533B65" w:rsidP="00A87AD8">
      <w:pPr>
        <w:pStyle w:val="Default"/>
        <w:ind w:left="720"/>
        <w:rPr>
          <w:rFonts w:ascii="Arial" w:eastAsia="Arial" w:hAnsi="Arial" w:cs="Arial"/>
          <w:b/>
          <w:bCs/>
        </w:rPr>
      </w:pPr>
    </w:p>
    <w:p w14:paraId="3E7FCC98" w14:textId="3B4ECF1F" w:rsidR="00DD5BD3" w:rsidRPr="00A87AD8" w:rsidRDefault="00DD5BD3" w:rsidP="00F539E9">
      <w:pPr>
        <w:pStyle w:val="Default"/>
        <w:ind w:left="720" w:right="-154"/>
        <w:rPr>
          <w:rFonts w:ascii="Arial" w:eastAsia="Arial" w:hAnsi="Arial" w:cs="Arial"/>
        </w:rPr>
      </w:pPr>
      <w:r w:rsidRPr="00A87AD8">
        <w:rPr>
          <w:rFonts w:ascii="Arial" w:eastAsia="Arial" w:hAnsi="Arial" w:cs="Arial"/>
        </w:rPr>
        <w:t xml:space="preserve">Nurses </w:t>
      </w:r>
      <w:r w:rsidR="003D0764" w:rsidRPr="00A87AD8">
        <w:rPr>
          <w:rFonts w:ascii="Arial" w:eastAsia="Arial" w:hAnsi="Arial" w:cs="Arial"/>
        </w:rPr>
        <w:t xml:space="preserve">are responsible for </w:t>
      </w:r>
      <w:r w:rsidR="00952DFC" w:rsidRPr="00A87AD8">
        <w:rPr>
          <w:rFonts w:ascii="Arial" w:eastAsia="Arial" w:hAnsi="Arial" w:cs="Arial"/>
        </w:rPr>
        <w:t>escalating any</w:t>
      </w:r>
      <w:r w:rsidRPr="00A87AD8">
        <w:rPr>
          <w:rFonts w:ascii="Arial" w:eastAsia="Arial" w:hAnsi="Arial" w:cs="Arial"/>
        </w:rPr>
        <w:t xml:space="preserve"> concerns back to the medical team</w:t>
      </w:r>
      <w:r w:rsidR="006C19ED">
        <w:rPr>
          <w:rFonts w:ascii="Arial" w:eastAsia="Arial" w:hAnsi="Arial" w:cs="Arial"/>
        </w:rPr>
        <w:t xml:space="preserve"> </w:t>
      </w:r>
      <w:r w:rsidRPr="00A87AD8">
        <w:rPr>
          <w:rFonts w:ascii="Arial" w:eastAsia="Arial" w:hAnsi="Arial" w:cs="Arial"/>
        </w:rPr>
        <w:t>/</w:t>
      </w:r>
      <w:r w:rsidR="006C19ED">
        <w:rPr>
          <w:rFonts w:ascii="Arial" w:eastAsia="Arial" w:hAnsi="Arial" w:cs="Arial"/>
        </w:rPr>
        <w:t xml:space="preserve"> </w:t>
      </w:r>
      <w:r w:rsidRPr="00A87AD8">
        <w:rPr>
          <w:rFonts w:ascii="Arial" w:eastAsia="Arial" w:hAnsi="Arial" w:cs="Arial"/>
        </w:rPr>
        <w:t>MDT</w:t>
      </w:r>
      <w:r w:rsidR="006C19ED">
        <w:rPr>
          <w:rFonts w:ascii="Arial" w:eastAsia="Arial" w:hAnsi="Arial" w:cs="Arial"/>
        </w:rPr>
        <w:t xml:space="preserve"> </w:t>
      </w:r>
      <w:r w:rsidRPr="00A87AD8">
        <w:rPr>
          <w:rFonts w:ascii="Arial" w:eastAsia="Arial" w:hAnsi="Arial" w:cs="Arial"/>
        </w:rPr>
        <w:t>/</w:t>
      </w:r>
      <w:r w:rsidR="006C19ED">
        <w:rPr>
          <w:rFonts w:ascii="Arial" w:eastAsia="Arial" w:hAnsi="Arial" w:cs="Arial"/>
        </w:rPr>
        <w:t xml:space="preserve"> </w:t>
      </w:r>
      <w:r w:rsidRPr="00A87AD8">
        <w:rPr>
          <w:rFonts w:ascii="Arial" w:eastAsia="Arial" w:hAnsi="Arial" w:cs="Arial"/>
        </w:rPr>
        <w:t>GP as appropriate.</w:t>
      </w:r>
    </w:p>
    <w:p w14:paraId="299B011D" w14:textId="4E517294" w:rsidR="00DD5EA7" w:rsidRPr="00A87AD8" w:rsidRDefault="00DD5EA7" w:rsidP="00A87AD8">
      <w:pPr>
        <w:pStyle w:val="Default"/>
        <w:ind w:left="720" w:hanging="720"/>
        <w:rPr>
          <w:rFonts w:ascii="Arial" w:eastAsia="Arial" w:hAnsi="Arial" w:cs="Arial"/>
        </w:rPr>
      </w:pPr>
    </w:p>
    <w:p w14:paraId="5F9DA656" w14:textId="296F3E10"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Health Care Assistants Responsibilities </w:t>
      </w:r>
    </w:p>
    <w:p w14:paraId="185DC00E" w14:textId="77777777" w:rsidR="003069D4" w:rsidRPr="00A87AD8" w:rsidRDefault="003069D4" w:rsidP="00A87AD8">
      <w:pPr>
        <w:pStyle w:val="Default"/>
        <w:ind w:left="720" w:hanging="720"/>
        <w:rPr>
          <w:rFonts w:ascii="Arial" w:eastAsia="Arial" w:hAnsi="Arial" w:cs="Arial"/>
        </w:rPr>
      </w:pPr>
    </w:p>
    <w:p w14:paraId="53715300" w14:textId="2B8F0964" w:rsidR="00DD5EA7" w:rsidRPr="00A87AD8" w:rsidRDefault="00DD5EA7" w:rsidP="00A87AD8">
      <w:pPr>
        <w:pStyle w:val="Default"/>
        <w:ind w:left="720" w:hanging="720"/>
        <w:rPr>
          <w:rFonts w:ascii="Arial" w:eastAsia="Arial" w:hAnsi="Arial" w:cs="Arial"/>
        </w:rPr>
      </w:pPr>
      <w:r w:rsidRPr="00A87AD8">
        <w:rPr>
          <w:rFonts w:ascii="Arial" w:eastAsia="Arial" w:hAnsi="Arial" w:cs="Arial"/>
        </w:rPr>
        <w:t>4.</w:t>
      </w:r>
      <w:r w:rsidR="00533B65" w:rsidRPr="00A87AD8">
        <w:rPr>
          <w:rFonts w:ascii="Arial" w:eastAsia="Arial" w:hAnsi="Arial" w:cs="Arial"/>
        </w:rPr>
        <w:t>7</w:t>
      </w:r>
      <w:r w:rsidRPr="00A87AD8">
        <w:rPr>
          <w:rFonts w:ascii="Arial" w:eastAsia="Arial" w:hAnsi="Arial" w:cs="Arial"/>
        </w:rPr>
        <w:tab/>
        <w:t xml:space="preserve">Health Care Assistants support the individual to follow eating and drinking recommendations as much as possible. </w:t>
      </w:r>
      <w:r w:rsidR="00F539E9">
        <w:rPr>
          <w:rFonts w:ascii="Arial" w:eastAsia="Arial" w:hAnsi="Arial" w:cs="Arial"/>
        </w:rPr>
        <w:t xml:space="preserve"> </w:t>
      </w:r>
      <w:r w:rsidRPr="00A87AD8">
        <w:rPr>
          <w:rFonts w:ascii="Arial" w:eastAsia="Arial" w:hAnsi="Arial" w:cs="Arial"/>
        </w:rPr>
        <w:t xml:space="preserve">They </w:t>
      </w:r>
      <w:r w:rsidR="003D0764" w:rsidRPr="00A87AD8">
        <w:rPr>
          <w:rFonts w:ascii="Arial" w:eastAsia="Arial" w:hAnsi="Arial" w:cs="Arial"/>
        </w:rPr>
        <w:t xml:space="preserve">will </w:t>
      </w:r>
      <w:r w:rsidRPr="00A87AD8">
        <w:rPr>
          <w:rFonts w:ascii="Arial" w:eastAsia="Arial" w:hAnsi="Arial" w:cs="Arial"/>
        </w:rPr>
        <w:t xml:space="preserve">document and escalate issues as appropriate. </w:t>
      </w:r>
    </w:p>
    <w:p w14:paraId="7D505A6E" w14:textId="2BACAB94" w:rsidR="00DD5EA7" w:rsidRPr="00A87AD8" w:rsidRDefault="00DD5EA7" w:rsidP="00A87AD8">
      <w:pPr>
        <w:pStyle w:val="Default"/>
        <w:ind w:left="720" w:hanging="720"/>
        <w:rPr>
          <w:rFonts w:ascii="Arial" w:eastAsia="Arial" w:hAnsi="Arial" w:cs="Arial"/>
        </w:rPr>
      </w:pPr>
    </w:p>
    <w:p w14:paraId="79A318A0" w14:textId="5A39ECAB"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Palliative Care Team Responsibilities </w:t>
      </w:r>
    </w:p>
    <w:p w14:paraId="6BDF894C" w14:textId="77777777" w:rsidR="003069D4" w:rsidRPr="00A87AD8" w:rsidRDefault="003069D4" w:rsidP="00A87AD8">
      <w:pPr>
        <w:pStyle w:val="Default"/>
        <w:ind w:left="720" w:hanging="720"/>
        <w:rPr>
          <w:rFonts w:ascii="Arial" w:eastAsia="Arial" w:hAnsi="Arial" w:cs="Arial"/>
        </w:rPr>
      </w:pPr>
    </w:p>
    <w:p w14:paraId="30AE7F1C" w14:textId="432931DE" w:rsidR="00DD5EA7" w:rsidRPr="00A87AD8" w:rsidRDefault="00DD5EA7" w:rsidP="00A87AD8">
      <w:pPr>
        <w:pStyle w:val="Default"/>
        <w:ind w:left="720" w:hanging="720"/>
        <w:rPr>
          <w:rFonts w:ascii="Arial" w:eastAsia="Arial" w:hAnsi="Arial" w:cs="Arial"/>
        </w:rPr>
      </w:pPr>
      <w:r w:rsidRPr="00A87AD8">
        <w:rPr>
          <w:rFonts w:ascii="Arial" w:eastAsia="Arial" w:hAnsi="Arial" w:cs="Arial"/>
        </w:rPr>
        <w:t>4.</w:t>
      </w:r>
      <w:r w:rsidR="00533B65" w:rsidRPr="00A87AD8">
        <w:rPr>
          <w:rFonts w:ascii="Arial" w:eastAsia="Arial" w:hAnsi="Arial" w:cs="Arial"/>
        </w:rPr>
        <w:t>8</w:t>
      </w:r>
      <w:r w:rsidRPr="00A87AD8">
        <w:rPr>
          <w:rFonts w:ascii="Arial" w:eastAsia="Arial" w:hAnsi="Arial" w:cs="Arial"/>
        </w:rPr>
        <w:tab/>
        <w:t>The Palliative Care Team are responsible for informing the MDT if an individual has been placed on the end-of-life pathway.</w:t>
      </w:r>
      <w:r w:rsidR="00F539E9">
        <w:rPr>
          <w:rFonts w:ascii="Arial" w:eastAsia="Arial" w:hAnsi="Arial" w:cs="Arial"/>
        </w:rPr>
        <w:t xml:space="preserve"> </w:t>
      </w:r>
      <w:r w:rsidRPr="00A87AD8">
        <w:rPr>
          <w:rFonts w:ascii="Arial" w:eastAsia="Arial" w:hAnsi="Arial" w:cs="Arial"/>
        </w:rPr>
        <w:t xml:space="preserve"> They will provide support the individual (or to famil</w:t>
      </w:r>
      <w:r w:rsidR="00952DFC">
        <w:rPr>
          <w:rFonts w:ascii="Arial" w:eastAsia="Arial" w:hAnsi="Arial" w:cs="Arial"/>
        </w:rPr>
        <w:t>y</w:t>
      </w:r>
      <w:r w:rsidRPr="00A87AD8">
        <w:rPr>
          <w:rFonts w:ascii="Arial" w:eastAsia="Arial" w:hAnsi="Arial" w:cs="Arial"/>
        </w:rPr>
        <w:t xml:space="preserve"> carers in the individual lacks capacity) on eating and drinking at the end of life. </w:t>
      </w:r>
      <w:r w:rsidR="00EB7EF6" w:rsidRPr="00A87AD8">
        <w:rPr>
          <w:rFonts w:ascii="Arial" w:eastAsia="Arial" w:hAnsi="Arial" w:cs="Arial"/>
        </w:rPr>
        <w:t xml:space="preserve"> </w:t>
      </w:r>
      <w:r w:rsidRPr="00A87AD8">
        <w:rPr>
          <w:rFonts w:ascii="Arial" w:eastAsia="Arial" w:hAnsi="Arial" w:cs="Arial"/>
        </w:rPr>
        <w:t xml:space="preserve">The Palliative Care Team will ensure individuals have a plan of care including symptom control, psychological, </w:t>
      </w:r>
      <w:proofErr w:type="gramStart"/>
      <w:r w:rsidRPr="00A87AD8">
        <w:rPr>
          <w:rFonts w:ascii="Arial" w:eastAsia="Arial" w:hAnsi="Arial" w:cs="Arial"/>
        </w:rPr>
        <w:t>social</w:t>
      </w:r>
      <w:proofErr w:type="gramEnd"/>
      <w:r w:rsidRPr="00A87AD8">
        <w:rPr>
          <w:rFonts w:ascii="Arial" w:eastAsia="Arial" w:hAnsi="Arial" w:cs="Arial"/>
        </w:rPr>
        <w:t xml:space="preserve"> and spiritual support.</w:t>
      </w:r>
    </w:p>
    <w:p w14:paraId="27A8C1C6" w14:textId="7B3953C7" w:rsidR="00D02126" w:rsidRPr="00A87AD8" w:rsidRDefault="00D02126" w:rsidP="00A87AD8">
      <w:pPr>
        <w:pStyle w:val="Default"/>
        <w:ind w:left="720" w:hanging="720"/>
        <w:rPr>
          <w:rFonts w:ascii="Arial" w:eastAsia="Arial" w:hAnsi="Arial" w:cs="Arial"/>
        </w:rPr>
      </w:pPr>
    </w:p>
    <w:p w14:paraId="568E2B65" w14:textId="1118E811" w:rsidR="003069D4" w:rsidRPr="00A87AD8" w:rsidRDefault="003069D4" w:rsidP="00A87AD8">
      <w:pPr>
        <w:pStyle w:val="Default"/>
        <w:ind w:left="709" w:hanging="709"/>
        <w:rPr>
          <w:rFonts w:ascii="Arial" w:hAnsi="Arial" w:cs="Arial"/>
          <w:b/>
        </w:rPr>
      </w:pPr>
      <w:r w:rsidRPr="00A87AD8">
        <w:rPr>
          <w:rFonts w:ascii="Arial" w:hAnsi="Arial" w:cs="Arial"/>
        </w:rPr>
        <w:tab/>
      </w:r>
      <w:r w:rsidRPr="00A87AD8">
        <w:rPr>
          <w:rFonts w:ascii="Arial" w:hAnsi="Arial" w:cs="Arial"/>
          <w:b/>
        </w:rPr>
        <w:t xml:space="preserve">Pharmacists Responsibilities </w:t>
      </w:r>
    </w:p>
    <w:p w14:paraId="12DA2A1C" w14:textId="77777777" w:rsidR="003069D4" w:rsidRPr="00A87AD8" w:rsidRDefault="003069D4" w:rsidP="00A87AD8">
      <w:pPr>
        <w:pStyle w:val="Default"/>
        <w:ind w:left="720" w:hanging="720"/>
        <w:rPr>
          <w:rFonts w:ascii="Arial" w:eastAsia="Arial" w:hAnsi="Arial" w:cs="Arial"/>
        </w:rPr>
      </w:pPr>
    </w:p>
    <w:p w14:paraId="4DE740F9" w14:textId="089F17A7" w:rsidR="00DD5EA7" w:rsidRPr="00A87AD8" w:rsidRDefault="00DD5EA7" w:rsidP="00A87AD8">
      <w:pPr>
        <w:pStyle w:val="Default"/>
        <w:ind w:left="720" w:hanging="720"/>
        <w:rPr>
          <w:rFonts w:ascii="Arial" w:eastAsia="Arial" w:hAnsi="Arial" w:cs="Arial"/>
        </w:rPr>
      </w:pPr>
      <w:r w:rsidRPr="00A87AD8">
        <w:rPr>
          <w:rFonts w:ascii="Arial" w:eastAsia="Arial" w:hAnsi="Arial" w:cs="Arial"/>
        </w:rPr>
        <w:t>4.</w:t>
      </w:r>
      <w:r w:rsidR="00533B65" w:rsidRPr="00A87AD8">
        <w:rPr>
          <w:rFonts w:ascii="Arial" w:eastAsia="Arial" w:hAnsi="Arial" w:cs="Arial"/>
        </w:rPr>
        <w:t>9</w:t>
      </w:r>
      <w:r w:rsidRPr="00A87AD8">
        <w:rPr>
          <w:rFonts w:ascii="Arial" w:eastAsia="Arial" w:hAnsi="Arial" w:cs="Arial"/>
        </w:rPr>
        <w:tab/>
        <w:t>Pharmacists are responsible for ensuring medications are i</w:t>
      </w:r>
      <w:r w:rsidR="003D0764" w:rsidRPr="00A87AD8">
        <w:rPr>
          <w:rFonts w:ascii="Arial" w:eastAsia="Arial" w:hAnsi="Arial" w:cs="Arial"/>
        </w:rPr>
        <w:t>n</w:t>
      </w:r>
      <w:r w:rsidRPr="00A87AD8">
        <w:rPr>
          <w:rFonts w:ascii="Arial" w:eastAsia="Arial" w:hAnsi="Arial" w:cs="Arial"/>
        </w:rPr>
        <w:t xml:space="preserve"> a form which </w:t>
      </w:r>
      <w:r w:rsidR="00A943A5" w:rsidRPr="00A87AD8">
        <w:rPr>
          <w:rFonts w:ascii="Arial" w:eastAsia="Arial" w:hAnsi="Arial" w:cs="Arial"/>
        </w:rPr>
        <w:t>are</w:t>
      </w:r>
      <w:r w:rsidRPr="00A87AD8">
        <w:rPr>
          <w:rFonts w:ascii="Arial" w:eastAsia="Arial" w:hAnsi="Arial" w:cs="Arial"/>
        </w:rPr>
        <w:t xml:space="preserve"> easier to </w:t>
      </w:r>
      <w:r w:rsidR="00952DFC" w:rsidRPr="00A87AD8">
        <w:rPr>
          <w:rFonts w:ascii="Arial" w:eastAsia="Arial" w:hAnsi="Arial" w:cs="Arial"/>
        </w:rPr>
        <w:t>swallow and</w:t>
      </w:r>
      <w:r w:rsidRPr="00A87AD8">
        <w:rPr>
          <w:rFonts w:ascii="Arial" w:eastAsia="Arial" w:hAnsi="Arial" w:cs="Arial"/>
        </w:rPr>
        <w:t xml:space="preserve"> will provide advice on whether medications can be altered (e.g</w:t>
      </w:r>
      <w:r w:rsidR="003069D4" w:rsidRPr="00A87AD8">
        <w:rPr>
          <w:rFonts w:ascii="Arial" w:eastAsia="Arial" w:hAnsi="Arial" w:cs="Arial"/>
        </w:rPr>
        <w:t>.</w:t>
      </w:r>
      <w:r w:rsidRPr="00A87AD8">
        <w:rPr>
          <w:rFonts w:ascii="Arial" w:eastAsia="Arial" w:hAnsi="Arial" w:cs="Arial"/>
        </w:rPr>
        <w:t xml:space="preserve"> crushed) to make them easier to swallow, and</w:t>
      </w:r>
      <w:r w:rsidR="00EB7EF6" w:rsidRPr="00A87AD8">
        <w:rPr>
          <w:rFonts w:ascii="Arial" w:eastAsia="Arial" w:hAnsi="Arial" w:cs="Arial"/>
        </w:rPr>
        <w:t xml:space="preserve"> </w:t>
      </w:r>
      <w:r w:rsidRPr="00A87AD8">
        <w:rPr>
          <w:rFonts w:ascii="Arial" w:eastAsia="Arial" w:hAnsi="Arial" w:cs="Arial"/>
        </w:rPr>
        <w:t>/</w:t>
      </w:r>
      <w:r w:rsidR="00EB7EF6" w:rsidRPr="00A87AD8">
        <w:rPr>
          <w:rFonts w:ascii="Arial" w:eastAsia="Arial" w:hAnsi="Arial" w:cs="Arial"/>
        </w:rPr>
        <w:t xml:space="preserve"> </w:t>
      </w:r>
      <w:r w:rsidRPr="00A87AD8">
        <w:rPr>
          <w:rFonts w:ascii="Arial" w:eastAsia="Arial" w:hAnsi="Arial" w:cs="Arial"/>
        </w:rPr>
        <w:t>or whether they can be taken with thickened fluids or food.</w:t>
      </w:r>
    </w:p>
    <w:p w14:paraId="7BDB3E1F" w14:textId="24EB1609" w:rsidR="00DD5EA7" w:rsidRPr="00A87AD8" w:rsidRDefault="00DD5EA7" w:rsidP="00A87AD8">
      <w:pPr>
        <w:pStyle w:val="Default"/>
        <w:ind w:left="720" w:hanging="720"/>
        <w:rPr>
          <w:rFonts w:ascii="Arial" w:eastAsia="Arial" w:hAnsi="Arial" w:cs="Arial"/>
        </w:rPr>
      </w:pPr>
    </w:p>
    <w:p w14:paraId="513B03D4" w14:textId="77777777" w:rsidR="004E7F13" w:rsidRPr="00A87AD8" w:rsidRDefault="004E7F13" w:rsidP="00A87AD8">
      <w:pPr>
        <w:rPr>
          <w:rFonts w:ascii="Arial" w:eastAsia="Arial" w:hAnsi="Arial" w:cs="Arial"/>
          <w:sz w:val="24"/>
          <w:szCs w:val="24"/>
        </w:rPr>
      </w:pPr>
    </w:p>
    <w:p w14:paraId="600EBCBF" w14:textId="370AC327" w:rsidR="00473E38" w:rsidRPr="00A87AD8" w:rsidRDefault="00473E38" w:rsidP="00A87AD8">
      <w:pPr>
        <w:ind w:left="709" w:hanging="709"/>
        <w:rPr>
          <w:rFonts w:ascii="Arial" w:eastAsia="Times New Roman" w:hAnsi="Arial" w:cs="Arial"/>
          <w:bCs/>
          <w:i/>
          <w:sz w:val="24"/>
          <w:szCs w:val="24"/>
        </w:rPr>
      </w:pPr>
      <w:r w:rsidRPr="00A87AD8">
        <w:rPr>
          <w:rFonts w:ascii="Arial" w:eastAsia="Times New Roman" w:hAnsi="Arial" w:cs="Arial"/>
          <w:b/>
          <w:bCs/>
          <w:color w:val="005EB8"/>
          <w:sz w:val="24"/>
          <w:szCs w:val="24"/>
        </w:rPr>
        <w:t xml:space="preserve">5.0    </w:t>
      </w:r>
      <w:r w:rsidRPr="00A87AD8">
        <w:rPr>
          <w:rFonts w:ascii="Arial" w:eastAsia="Times New Roman" w:hAnsi="Arial" w:cs="Arial"/>
          <w:b/>
          <w:bCs/>
          <w:color w:val="005EB8"/>
          <w:sz w:val="24"/>
          <w:szCs w:val="24"/>
        </w:rPr>
        <w:tab/>
        <w:t>PROCESS DESCRIPTION</w:t>
      </w:r>
    </w:p>
    <w:p w14:paraId="32ED85B6" w14:textId="77777777" w:rsidR="00533B65" w:rsidRPr="00A87AD8" w:rsidRDefault="00533B65" w:rsidP="00A87AD8">
      <w:pPr>
        <w:ind w:left="709" w:hanging="709"/>
        <w:rPr>
          <w:rFonts w:ascii="Arial" w:eastAsia="Times New Roman" w:hAnsi="Arial" w:cs="Arial"/>
          <w:bCs/>
          <w:i/>
          <w:sz w:val="24"/>
          <w:szCs w:val="24"/>
        </w:rPr>
      </w:pPr>
    </w:p>
    <w:p w14:paraId="5CEEA7C7" w14:textId="6D9C425E" w:rsidR="00297784" w:rsidRPr="00A87AD8" w:rsidRDefault="00473E38" w:rsidP="00A87AD8">
      <w:pPr>
        <w:ind w:left="709" w:hanging="709"/>
        <w:rPr>
          <w:rFonts w:ascii="Arial" w:hAnsi="Arial" w:cs="Arial"/>
          <w:sz w:val="24"/>
          <w:szCs w:val="24"/>
        </w:rPr>
      </w:pPr>
      <w:r w:rsidRPr="00A87AD8">
        <w:rPr>
          <w:rFonts w:ascii="Arial" w:eastAsia="Times New Roman" w:hAnsi="Arial" w:cs="Arial"/>
          <w:bCs/>
          <w:color w:val="005EB8"/>
          <w:sz w:val="24"/>
          <w:szCs w:val="24"/>
        </w:rPr>
        <w:lastRenderedPageBreak/>
        <w:tab/>
      </w:r>
      <w:r w:rsidR="00297784" w:rsidRPr="00A8596D">
        <w:rPr>
          <w:rFonts w:ascii="Arial" w:hAnsi="Arial" w:cs="Arial"/>
          <w:b/>
          <w:bCs/>
          <w:sz w:val="24"/>
          <w:szCs w:val="24"/>
        </w:rPr>
        <w:t xml:space="preserve">Shared </w:t>
      </w:r>
      <w:r w:rsidR="0031673D" w:rsidRPr="00A8596D">
        <w:rPr>
          <w:rFonts w:ascii="Arial" w:hAnsi="Arial" w:cs="Arial"/>
          <w:b/>
          <w:bCs/>
          <w:sz w:val="24"/>
          <w:szCs w:val="24"/>
        </w:rPr>
        <w:t>Decision Making Context Relating To Eating And Drinking With Risk Identified</w:t>
      </w:r>
      <w:r w:rsidR="0031673D" w:rsidRPr="00A8596D">
        <w:rPr>
          <w:rFonts w:ascii="Arial" w:hAnsi="Arial" w:cs="Arial"/>
          <w:sz w:val="24"/>
          <w:szCs w:val="24"/>
        </w:rPr>
        <w:t xml:space="preserve"> </w:t>
      </w:r>
    </w:p>
    <w:p w14:paraId="1E959E90" w14:textId="6CF0C9CF" w:rsidR="00297784" w:rsidRPr="00A87AD8" w:rsidRDefault="00297784" w:rsidP="00A87AD8">
      <w:pPr>
        <w:ind w:left="709" w:hanging="709"/>
        <w:rPr>
          <w:rFonts w:ascii="Arial" w:hAnsi="Arial" w:cs="Arial"/>
          <w:sz w:val="24"/>
          <w:szCs w:val="24"/>
        </w:rPr>
      </w:pPr>
    </w:p>
    <w:p w14:paraId="6C7AFFAF" w14:textId="24121945" w:rsidR="00297784" w:rsidRPr="00A87AD8" w:rsidRDefault="00297784" w:rsidP="00A87AD8">
      <w:pPr>
        <w:ind w:left="709" w:hanging="709"/>
        <w:rPr>
          <w:rFonts w:ascii="Arial" w:hAnsi="Arial" w:cs="Arial"/>
          <w:sz w:val="24"/>
          <w:szCs w:val="24"/>
        </w:rPr>
      </w:pPr>
      <w:r w:rsidRPr="00A87AD8">
        <w:rPr>
          <w:rFonts w:ascii="Arial" w:hAnsi="Arial" w:cs="Arial"/>
          <w:sz w:val="24"/>
          <w:szCs w:val="24"/>
        </w:rPr>
        <w:t>5.1</w:t>
      </w:r>
      <w:r w:rsidRPr="00A87AD8">
        <w:rPr>
          <w:rFonts w:ascii="Arial" w:hAnsi="Arial" w:cs="Arial"/>
          <w:sz w:val="24"/>
          <w:szCs w:val="24"/>
        </w:rPr>
        <w:tab/>
        <w:t>All health professionals involved in working with or caring for individuals with oropharyngeal dysphagia, should be aware of the potential risks, and be able to identify scenarios when eating and drinking with acknowledged risk guidance needs to be applied.</w:t>
      </w:r>
    </w:p>
    <w:p w14:paraId="3091830E" w14:textId="77777777" w:rsidR="004A2882" w:rsidRPr="00A87AD8" w:rsidRDefault="004A2882" w:rsidP="00A87AD8">
      <w:pPr>
        <w:ind w:left="709" w:hanging="709"/>
        <w:rPr>
          <w:rFonts w:ascii="Arial" w:hAnsi="Arial" w:cs="Arial"/>
          <w:sz w:val="24"/>
          <w:szCs w:val="24"/>
        </w:rPr>
      </w:pPr>
    </w:p>
    <w:p w14:paraId="02CB8932" w14:textId="6D6D996F" w:rsidR="004A2882" w:rsidRPr="00A87AD8" w:rsidRDefault="004A2882" w:rsidP="00A87AD8">
      <w:pPr>
        <w:ind w:left="709" w:hanging="709"/>
        <w:rPr>
          <w:rFonts w:ascii="Arial" w:hAnsi="Arial" w:cs="Arial"/>
          <w:sz w:val="24"/>
          <w:szCs w:val="24"/>
        </w:rPr>
      </w:pPr>
      <w:r w:rsidRPr="00A87AD8">
        <w:rPr>
          <w:rFonts w:ascii="Arial" w:hAnsi="Arial" w:cs="Arial"/>
          <w:sz w:val="24"/>
          <w:szCs w:val="24"/>
        </w:rPr>
        <w:t>5.2</w:t>
      </w:r>
      <w:r w:rsidRPr="00A87AD8">
        <w:rPr>
          <w:rFonts w:ascii="Arial" w:hAnsi="Arial" w:cs="Arial"/>
          <w:sz w:val="24"/>
          <w:szCs w:val="24"/>
        </w:rPr>
        <w:tab/>
        <w:t>When a potential eating and drinking with risk scenario is identified by a health professional it should be documented in the individual’s medical records, discussed with the individual (or family</w:t>
      </w:r>
      <w:r w:rsidR="0031673D">
        <w:rPr>
          <w:rFonts w:ascii="Arial" w:hAnsi="Arial" w:cs="Arial"/>
          <w:sz w:val="24"/>
          <w:szCs w:val="24"/>
        </w:rPr>
        <w:t xml:space="preserve"> </w:t>
      </w:r>
      <w:r w:rsidRPr="00A87AD8">
        <w:rPr>
          <w:rFonts w:ascii="Arial" w:hAnsi="Arial" w:cs="Arial"/>
          <w:sz w:val="24"/>
          <w:szCs w:val="24"/>
        </w:rPr>
        <w:t>/ carers if the individual lacks capacity), and discussed with the relevant MDT members jointly responsible for the care of the individual.</w:t>
      </w:r>
    </w:p>
    <w:p w14:paraId="02F51E3D" w14:textId="1095CC66" w:rsidR="00297784" w:rsidRPr="00A87AD8" w:rsidRDefault="00297784" w:rsidP="00A87AD8">
      <w:pPr>
        <w:rPr>
          <w:rFonts w:ascii="Arial" w:hAnsi="Arial" w:cs="Arial"/>
          <w:sz w:val="24"/>
          <w:szCs w:val="24"/>
        </w:rPr>
      </w:pPr>
    </w:p>
    <w:p w14:paraId="70345C51" w14:textId="748C0FDD" w:rsidR="00297784" w:rsidRPr="00A87AD8" w:rsidRDefault="00297784" w:rsidP="00A87AD8">
      <w:pPr>
        <w:pStyle w:val="Default"/>
        <w:ind w:left="709" w:hanging="709"/>
        <w:rPr>
          <w:rFonts w:ascii="Arial" w:hAnsi="Arial" w:cs="Arial"/>
        </w:rPr>
      </w:pPr>
      <w:r w:rsidRPr="00A87AD8">
        <w:rPr>
          <w:rFonts w:ascii="Arial" w:hAnsi="Arial" w:cs="Arial"/>
          <w:color w:val="auto"/>
        </w:rPr>
        <w:t>5.</w:t>
      </w:r>
      <w:r w:rsidR="0031673D">
        <w:rPr>
          <w:rFonts w:ascii="Arial" w:hAnsi="Arial" w:cs="Arial"/>
          <w:color w:val="auto"/>
        </w:rPr>
        <w:t>3</w:t>
      </w:r>
      <w:r w:rsidRPr="00A87AD8">
        <w:rPr>
          <w:rFonts w:ascii="Arial" w:hAnsi="Arial" w:cs="Arial"/>
          <w:color w:val="auto"/>
        </w:rPr>
        <w:tab/>
        <w:t>Eating and drinking with acknowledged risks can be applicable to various scenarios</w:t>
      </w:r>
      <w:r w:rsidR="00A87AD8" w:rsidRPr="00A87AD8">
        <w:rPr>
          <w:rFonts w:ascii="Arial" w:hAnsi="Arial" w:cs="Arial"/>
          <w:color w:val="auto"/>
        </w:rPr>
        <w:t xml:space="preserve"> </w:t>
      </w:r>
      <w:r w:rsidRPr="00A87AD8">
        <w:rPr>
          <w:rFonts w:ascii="Arial" w:hAnsi="Arial" w:cs="Arial"/>
          <w:color w:val="auto"/>
        </w:rPr>
        <w:t>/</w:t>
      </w:r>
      <w:r w:rsidR="00A87AD8" w:rsidRPr="00A87AD8">
        <w:rPr>
          <w:rFonts w:ascii="Arial" w:hAnsi="Arial" w:cs="Arial"/>
          <w:color w:val="auto"/>
        </w:rPr>
        <w:t xml:space="preserve"> </w:t>
      </w:r>
      <w:r w:rsidRPr="00A87AD8">
        <w:rPr>
          <w:rFonts w:ascii="Arial" w:hAnsi="Arial" w:cs="Arial"/>
          <w:color w:val="auto"/>
        </w:rPr>
        <w:t>contexts as follows:</w:t>
      </w:r>
    </w:p>
    <w:p w14:paraId="0FF76DE7" w14:textId="77777777" w:rsidR="00297784" w:rsidRPr="00A87AD8" w:rsidRDefault="00297784" w:rsidP="00A87AD8">
      <w:pPr>
        <w:autoSpaceDE w:val="0"/>
        <w:autoSpaceDN w:val="0"/>
        <w:adjustRightInd w:val="0"/>
        <w:rPr>
          <w:rFonts w:ascii="Arial" w:hAnsi="Arial" w:cs="Arial"/>
          <w:sz w:val="24"/>
          <w:szCs w:val="24"/>
        </w:rPr>
      </w:pPr>
    </w:p>
    <w:p w14:paraId="223FE3BA" w14:textId="77777777"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 xml:space="preserve">An individual with capacity who fully understands the resulting risks of eating and drinking and wishes to continue to eat and drink despite the risks. </w:t>
      </w:r>
    </w:p>
    <w:p w14:paraId="081021E1" w14:textId="77777777" w:rsidR="00297784" w:rsidRPr="00A87AD8" w:rsidRDefault="00297784" w:rsidP="00A87AD8">
      <w:pPr>
        <w:pStyle w:val="ListParagraph"/>
        <w:autoSpaceDE w:val="0"/>
        <w:autoSpaceDN w:val="0"/>
        <w:adjustRightInd w:val="0"/>
        <w:ind w:left="1080"/>
        <w:rPr>
          <w:rFonts w:ascii="Arial" w:hAnsi="Arial" w:cs="Arial"/>
          <w:sz w:val="24"/>
          <w:szCs w:val="24"/>
        </w:rPr>
      </w:pPr>
    </w:p>
    <w:p w14:paraId="6DF056E7" w14:textId="03A50FE7"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An individual who has capacity and declines Clinically Assisted Nutrition and Hydration (CANH) or modified diet</w:t>
      </w:r>
      <w:r w:rsidR="00AF0B64">
        <w:rPr>
          <w:rFonts w:ascii="Arial" w:hAnsi="Arial" w:cs="Arial"/>
          <w:sz w:val="24"/>
          <w:szCs w:val="24"/>
        </w:rPr>
        <w:t xml:space="preserve"> </w:t>
      </w:r>
      <w:r w:rsidRPr="00A87AD8">
        <w:rPr>
          <w:rFonts w:ascii="Arial" w:hAnsi="Arial" w:cs="Arial"/>
          <w:sz w:val="24"/>
          <w:szCs w:val="24"/>
        </w:rPr>
        <w:t>/</w:t>
      </w:r>
      <w:r w:rsidR="00AF0B64">
        <w:rPr>
          <w:rFonts w:ascii="Arial" w:hAnsi="Arial" w:cs="Arial"/>
          <w:sz w:val="24"/>
          <w:szCs w:val="24"/>
        </w:rPr>
        <w:t xml:space="preserve"> </w:t>
      </w:r>
      <w:r w:rsidRPr="00A87AD8">
        <w:rPr>
          <w:rFonts w:ascii="Arial" w:hAnsi="Arial" w:cs="Arial"/>
          <w:sz w:val="24"/>
          <w:szCs w:val="24"/>
        </w:rPr>
        <w:t xml:space="preserve">fluids. </w:t>
      </w:r>
    </w:p>
    <w:p w14:paraId="77066E63" w14:textId="77777777" w:rsidR="00297784" w:rsidRPr="00A87AD8" w:rsidRDefault="00297784" w:rsidP="00A87AD8">
      <w:pPr>
        <w:pStyle w:val="ListParagraph"/>
        <w:autoSpaceDE w:val="0"/>
        <w:autoSpaceDN w:val="0"/>
        <w:adjustRightInd w:val="0"/>
        <w:ind w:left="1080"/>
        <w:rPr>
          <w:rFonts w:ascii="Arial" w:hAnsi="Arial" w:cs="Arial"/>
          <w:sz w:val="24"/>
          <w:szCs w:val="24"/>
        </w:rPr>
      </w:pPr>
    </w:p>
    <w:p w14:paraId="4CC5BDB5" w14:textId="77777777"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 xml:space="preserve">An individual who is nearing the end of their life where the focus moves away from medicalisation to maximising quality of life. </w:t>
      </w:r>
    </w:p>
    <w:p w14:paraId="590B9867" w14:textId="77777777" w:rsidR="00297784" w:rsidRPr="00A87AD8" w:rsidRDefault="00297784" w:rsidP="00A87AD8">
      <w:pPr>
        <w:pStyle w:val="ListParagraph"/>
        <w:autoSpaceDE w:val="0"/>
        <w:autoSpaceDN w:val="0"/>
        <w:adjustRightInd w:val="0"/>
        <w:ind w:left="1080"/>
        <w:rPr>
          <w:rFonts w:ascii="Arial" w:hAnsi="Arial" w:cs="Arial"/>
          <w:sz w:val="24"/>
          <w:szCs w:val="24"/>
        </w:rPr>
      </w:pPr>
    </w:p>
    <w:p w14:paraId="2CE2847B" w14:textId="77777777"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 xml:space="preserve">An individual who is meeting their nutritional requirements via CANH and chooses to eat and drink with acknowledged risks for pleasure. </w:t>
      </w:r>
    </w:p>
    <w:p w14:paraId="0D2B8CFF" w14:textId="77777777" w:rsidR="00297784" w:rsidRPr="00A87AD8" w:rsidRDefault="00297784" w:rsidP="00A87AD8">
      <w:pPr>
        <w:pStyle w:val="ListParagraph"/>
        <w:autoSpaceDE w:val="0"/>
        <w:autoSpaceDN w:val="0"/>
        <w:adjustRightInd w:val="0"/>
        <w:ind w:left="1080"/>
        <w:rPr>
          <w:rFonts w:ascii="Arial" w:hAnsi="Arial" w:cs="Arial"/>
          <w:sz w:val="24"/>
          <w:szCs w:val="24"/>
        </w:rPr>
      </w:pPr>
    </w:p>
    <w:p w14:paraId="5ACCCA9B" w14:textId="6BA200FD"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MDT discussions with the individual and</w:t>
      </w:r>
      <w:r w:rsidR="00AF0B64">
        <w:rPr>
          <w:rFonts w:ascii="Arial" w:hAnsi="Arial" w:cs="Arial"/>
          <w:sz w:val="24"/>
          <w:szCs w:val="24"/>
        </w:rPr>
        <w:t xml:space="preserve"> </w:t>
      </w:r>
      <w:r w:rsidRPr="00A87AD8">
        <w:rPr>
          <w:rFonts w:ascii="Arial" w:hAnsi="Arial" w:cs="Arial"/>
          <w:sz w:val="24"/>
          <w:szCs w:val="24"/>
        </w:rPr>
        <w:t>/</w:t>
      </w:r>
      <w:r w:rsidR="00AF0B64">
        <w:rPr>
          <w:rFonts w:ascii="Arial" w:hAnsi="Arial" w:cs="Arial"/>
          <w:sz w:val="24"/>
          <w:szCs w:val="24"/>
        </w:rPr>
        <w:t xml:space="preserve"> </w:t>
      </w:r>
      <w:r w:rsidRPr="00A87AD8">
        <w:rPr>
          <w:rFonts w:ascii="Arial" w:hAnsi="Arial" w:cs="Arial"/>
          <w:sz w:val="24"/>
          <w:szCs w:val="24"/>
        </w:rPr>
        <w:t>or their significant others to determine if the procedure risks of long term CANH (e</w:t>
      </w:r>
      <w:r w:rsidR="00533B65" w:rsidRPr="00A87AD8">
        <w:rPr>
          <w:rFonts w:ascii="Arial" w:hAnsi="Arial" w:cs="Arial"/>
          <w:sz w:val="24"/>
          <w:szCs w:val="24"/>
        </w:rPr>
        <w:t>.</w:t>
      </w:r>
      <w:r w:rsidRPr="00A87AD8">
        <w:rPr>
          <w:rFonts w:ascii="Arial" w:hAnsi="Arial" w:cs="Arial"/>
          <w:sz w:val="24"/>
          <w:szCs w:val="24"/>
        </w:rPr>
        <w:t>g</w:t>
      </w:r>
      <w:r w:rsidR="00533B65" w:rsidRPr="00A87AD8">
        <w:rPr>
          <w:rFonts w:ascii="Arial" w:hAnsi="Arial" w:cs="Arial"/>
          <w:sz w:val="24"/>
          <w:szCs w:val="24"/>
        </w:rPr>
        <w:t>.</w:t>
      </w:r>
      <w:r w:rsidRPr="00A87AD8">
        <w:rPr>
          <w:rFonts w:ascii="Arial" w:hAnsi="Arial" w:cs="Arial"/>
          <w:sz w:val="24"/>
          <w:szCs w:val="24"/>
        </w:rPr>
        <w:t xml:space="preserve"> percutaneous gastrostomy) outweighs the benefits. </w:t>
      </w:r>
    </w:p>
    <w:p w14:paraId="7D859072" w14:textId="77777777" w:rsidR="00297784" w:rsidRPr="00A87AD8" w:rsidRDefault="00297784" w:rsidP="00A87AD8">
      <w:pPr>
        <w:pStyle w:val="ListParagraph"/>
        <w:autoSpaceDE w:val="0"/>
        <w:autoSpaceDN w:val="0"/>
        <w:adjustRightInd w:val="0"/>
        <w:ind w:left="1080"/>
        <w:rPr>
          <w:rFonts w:ascii="Arial" w:hAnsi="Arial" w:cs="Arial"/>
          <w:sz w:val="24"/>
          <w:szCs w:val="24"/>
        </w:rPr>
      </w:pPr>
    </w:p>
    <w:p w14:paraId="08035416" w14:textId="77777777" w:rsidR="00297784" w:rsidRPr="00A87AD8" w:rsidRDefault="00297784" w:rsidP="00A87AD8">
      <w:pPr>
        <w:pStyle w:val="ListParagraph"/>
        <w:numPr>
          <w:ilvl w:val="0"/>
          <w:numId w:val="26"/>
        </w:numPr>
        <w:autoSpaceDE w:val="0"/>
        <w:autoSpaceDN w:val="0"/>
        <w:adjustRightInd w:val="0"/>
        <w:ind w:left="1080"/>
        <w:rPr>
          <w:rFonts w:ascii="Arial" w:hAnsi="Arial" w:cs="Arial"/>
          <w:sz w:val="24"/>
          <w:szCs w:val="24"/>
        </w:rPr>
      </w:pPr>
      <w:r w:rsidRPr="00A87AD8">
        <w:rPr>
          <w:rFonts w:ascii="Arial" w:hAnsi="Arial" w:cs="Arial"/>
          <w:sz w:val="24"/>
          <w:szCs w:val="24"/>
        </w:rPr>
        <w:t xml:space="preserve">An individual who lacks capacity where CANH may not be suitable, as the enjoyment of eating and drinking and the enhanced quality of life this brings outweighs the risks associated with developing aspiration pneumonia. </w:t>
      </w:r>
    </w:p>
    <w:p w14:paraId="306BD855" w14:textId="4AA7540F" w:rsidR="00473E38" w:rsidRPr="00A87AD8" w:rsidRDefault="00473E38" w:rsidP="00A87AD8">
      <w:pPr>
        <w:ind w:left="709" w:hanging="709"/>
        <w:rPr>
          <w:rFonts w:ascii="Arial" w:eastAsia="Times New Roman" w:hAnsi="Arial" w:cs="Arial"/>
          <w:bCs/>
          <w:color w:val="005EB8"/>
          <w:sz w:val="24"/>
          <w:szCs w:val="24"/>
        </w:rPr>
      </w:pPr>
    </w:p>
    <w:p w14:paraId="345712C4" w14:textId="75292EA1" w:rsidR="00473E38" w:rsidRPr="00A87AD8" w:rsidRDefault="0031673D" w:rsidP="00A87AD8">
      <w:pPr>
        <w:ind w:left="709" w:hanging="709"/>
        <w:rPr>
          <w:rFonts w:ascii="Arial" w:eastAsia="Times New Roman" w:hAnsi="Arial" w:cs="Arial"/>
          <w:b/>
          <w:sz w:val="24"/>
          <w:szCs w:val="24"/>
        </w:rPr>
      </w:pPr>
      <w:r>
        <w:rPr>
          <w:rFonts w:ascii="Arial" w:eastAsia="Times New Roman" w:hAnsi="Arial" w:cs="Arial"/>
          <w:bCs/>
          <w:sz w:val="24"/>
          <w:szCs w:val="24"/>
        </w:rPr>
        <w:tab/>
      </w:r>
      <w:r w:rsidR="004A2882" w:rsidRPr="00A8596D">
        <w:rPr>
          <w:rFonts w:ascii="Arial" w:eastAsia="Times New Roman" w:hAnsi="Arial" w:cs="Arial"/>
          <w:b/>
          <w:sz w:val="24"/>
          <w:szCs w:val="24"/>
        </w:rPr>
        <w:t xml:space="preserve">Establish </w:t>
      </w:r>
      <w:r w:rsidR="00A8596D" w:rsidRPr="00A8596D">
        <w:rPr>
          <w:rFonts w:ascii="Arial" w:eastAsia="Times New Roman" w:hAnsi="Arial" w:cs="Arial"/>
          <w:b/>
          <w:sz w:val="24"/>
          <w:szCs w:val="24"/>
        </w:rPr>
        <w:t>The Goal Of Intervention Or Care</w:t>
      </w:r>
    </w:p>
    <w:p w14:paraId="31FF0088" w14:textId="1EC438C6" w:rsidR="005C2930" w:rsidRPr="00A87AD8" w:rsidRDefault="005C2930" w:rsidP="00A87AD8">
      <w:pPr>
        <w:ind w:left="709" w:hanging="709"/>
        <w:rPr>
          <w:rFonts w:ascii="Arial" w:eastAsia="Times New Roman" w:hAnsi="Arial" w:cs="Arial"/>
          <w:b/>
          <w:sz w:val="24"/>
          <w:szCs w:val="24"/>
        </w:rPr>
      </w:pPr>
    </w:p>
    <w:p w14:paraId="68C2D5D3" w14:textId="40432202" w:rsidR="005C2930" w:rsidRPr="00A87AD8" w:rsidRDefault="005C2930" w:rsidP="00A87AD8">
      <w:pPr>
        <w:ind w:left="709" w:hanging="709"/>
        <w:rPr>
          <w:rFonts w:ascii="Arial" w:eastAsia="Times New Roman" w:hAnsi="Arial" w:cs="Arial"/>
          <w:bCs/>
          <w:sz w:val="24"/>
          <w:szCs w:val="24"/>
        </w:rPr>
      </w:pPr>
      <w:r w:rsidRPr="00A87AD8">
        <w:rPr>
          <w:rFonts w:ascii="Arial" w:eastAsia="Times New Roman" w:hAnsi="Arial" w:cs="Arial"/>
          <w:bCs/>
          <w:sz w:val="24"/>
          <w:szCs w:val="24"/>
        </w:rPr>
        <w:t>5.</w:t>
      </w:r>
      <w:r w:rsidR="0031673D">
        <w:rPr>
          <w:rFonts w:ascii="Arial" w:eastAsia="Times New Roman" w:hAnsi="Arial" w:cs="Arial"/>
          <w:bCs/>
          <w:sz w:val="24"/>
          <w:szCs w:val="24"/>
        </w:rPr>
        <w:t>4</w:t>
      </w:r>
      <w:r w:rsidRPr="00A87AD8">
        <w:rPr>
          <w:rFonts w:ascii="Arial" w:eastAsia="Times New Roman" w:hAnsi="Arial" w:cs="Arial"/>
          <w:b/>
          <w:sz w:val="24"/>
          <w:szCs w:val="24"/>
        </w:rPr>
        <w:tab/>
      </w:r>
      <w:r w:rsidRPr="00A87AD8">
        <w:rPr>
          <w:rFonts w:ascii="Arial" w:eastAsia="Times New Roman" w:hAnsi="Arial" w:cs="Arial"/>
          <w:bCs/>
          <w:sz w:val="24"/>
          <w:szCs w:val="24"/>
        </w:rPr>
        <w:t xml:space="preserve">Prior to the initiation of a plan to eat and drink with acknowledges risks, health care professionals involved in the care of the individual with oropharyngeal dysphagia need to gather detailed information regarding the nature of the dysphagia and associated prognosis. </w:t>
      </w:r>
      <w:r w:rsidR="00A87AD8" w:rsidRPr="00A87AD8">
        <w:rPr>
          <w:rFonts w:ascii="Arial" w:eastAsia="Times New Roman" w:hAnsi="Arial" w:cs="Arial"/>
          <w:bCs/>
          <w:sz w:val="24"/>
          <w:szCs w:val="24"/>
        </w:rPr>
        <w:t xml:space="preserve"> </w:t>
      </w:r>
      <w:r w:rsidRPr="00A87AD8">
        <w:rPr>
          <w:rFonts w:ascii="Arial" w:eastAsia="Times New Roman" w:hAnsi="Arial" w:cs="Arial"/>
          <w:bCs/>
          <w:sz w:val="24"/>
          <w:szCs w:val="24"/>
        </w:rPr>
        <w:t xml:space="preserve">This includes identifying whether the individual’s clinical </w:t>
      </w:r>
      <w:r w:rsidR="003D3490">
        <w:rPr>
          <w:rFonts w:ascii="Arial" w:eastAsia="Times New Roman" w:hAnsi="Arial" w:cs="Arial"/>
          <w:bCs/>
          <w:sz w:val="24"/>
          <w:szCs w:val="24"/>
        </w:rPr>
        <w:t xml:space="preserve">condition </w:t>
      </w:r>
      <w:r w:rsidRPr="00A87AD8">
        <w:rPr>
          <w:rFonts w:ascii="Arial" w:eastAsia="Times New Roman" w:hAnsi="Arial" w:cs="Arial"/>
          <w:bCs/>
          <w:sz w:val="24"/>
          <w:szCs w:val="24"/>
        </w:rPr>
        <w:t xml:space="preserve">is transient or unlikely to change in spite of intervention. </w:t>
      </w:r>
      <w:r w:rsidR="00843894">
        <w:rPr>
          <w:rFonts w:ascii="Arial" w:eastAsia="Times New Roman" w:hAnsi="Arial" w:cs="Arial"/>
          <w:bCs/>
          <w:sz w:val="24"/>
          <w:szCs w:val="24"/>
        </w:rPr>
        <w:t xml:space="preserve"> </w:t>
      </w:r>
      <w:r w:rsidRPr="00A87AD8">
        <w:rPr>
          <w:rFonts w:ascii="Arial" w:eastAsia="Times New Roman" w:hAnsi="Arial" w:cs="Arial"/>
          <w:bCs/>
          <w:sz w:val="24"/>
          <w:szCs w:val="24"/>
        </w:rPr>
        <w:t>Consideration of how future management will impact on quality of life is key taking account the principles of dignity and non</w:t>
      </w:r>
      <w:r w:rsidR="00533B65" w:rsidRPr="00A87AD8">
        <w:rPr>
          <w:rFonts w:ascii="Arial" w:eastAsia="Times New Roman" w:hAnsi="Arial" w:cs="Arial"/>
          <w:bCs/>
          <w:sz w:val="24"/>
          <w:szCs w:val="24"/>
        </w:rPr>
        <w:t>-maleficence</w:t>
      </w:r>
      <w:r w:rsidRPr="00A87AD8">
        <w:rPr>
          <w:rFonts w:ascii="Arial" w:eastAsia="Times New Roman" w:hAnsi="Arial" w:cs="Arial"/>
          <w:bCs/>
          <w:sz w:val="24"/>
          <w:szCs w:val="24"/>
        </w:rPr>
        <w:t xml:space="preserve">. </w:t>
      </w:r>
    </w:p>
    <w:p w14:paraId="2D96B3BE" w14:textId="77777777" w:rsidR="00533B65" w:rsidRPr="00A87AD8" w:rsidRDefault="00533B65" w:rsidP="00A87AD8">
      <w:pPr>
        <w:ind w:left="709" w:hanging="709"/>
        <w:rPr>
          <w:rFonts w:ascii="Arial" w:eastAsia="Times New Roman" w:hAnsi="Arial" w:cs="Arial"/>
          <w:bCs/>
          <w:sz w:val="24"/>
          <w:szCs w:val="24"/>
        </w:rPr>
      </w:pPr>
    </w:p>
    <w:p w14:paraId="6D196D94" w14:textId="4F286540" w:rsidR="0096192C" w:rsidRPr="00A87AD8" w:rsidRDefault="00843894" w:rsidP="00A87AD8">
      <w:pPr>
        <w:ind w:left="709" w:hanging="709"/>
        <w:rPr>
          <w:rFonts w:ascii="Arial" w:hAnsi="Arial" w:cs="Arial"/>
          <w:bCs/>
          <w:sz w:val="24"/>
          <w:szCs w:val="24"/>
        </w:rPr>
      </w:pPr>
      <w:r>
        <w:rPr>
          <w:rFonts w:ascii="Arial" w:eastAsia="Times New Roman" w:hAnsi="Arial" w:cs="Arial"/>
          <w:bCs/>
          <w:sz w:val="24"/>
          <w:szCs w:val="24"/>
        </w:rPr>
        <w:lastRenderedPageBreak/>
        <w:tab/>
      </w:r>
      <w:r w:rsidR="0096192C" w:rsidRPr="00D63781">
        <w:rPr>
          <w:rFonts w:ascii="Arial" w:eastAsia="Times New Roman" w:hAnsi="Arial" w:cs="Arial"/>
          <w:b/>
          <w:sz w:val="24"/>
          <w:szCs w:val="24"/>
        </w:rPr>
        <w:t xml:space="preserve">Establish </w:t>
      </w:r>
      <w:r w:rsidR="00D63781" w:rsidRPr="00D63781">
        <w:rPr>
          <w:rFonts w:ascii="Arial" w:eastAsia="Times New Roman" w:hAnsi="Arial" w:cs="Arial"/>
          <w:b/>
          <w:sz w:val="24"/>
          <w:szCs w:val="24"/>
        </w:rPr>
        <w:t xml:space="preserve">Whether </w:t>
      </w:r>
      <w:r w:rsidR="00D63781" w:rsidRPr="00D63781">
        <w:rPr>
          <w:rFonts w:ascii="Arial" w:hAnsi="Arial" w:cs="Arial"/>
          <w:b/>
          <w:sz w:val="24"/>
          <w:szCs w:val="24"/>
        </w:rPr>
        <w:t>An Advanced Care Plan Or Eating And Drinking With Risk Care Plan Is Already In Place</w:t>
      </w:r>
    </w:p>
    <w:p w14:paraId="5A4299A6" w14:textId="4506A299" w:rsidR="0096192C" w:rsidRPr="00A87AD8" w:rsidRDefault="0096192C" w:rsidP="00A87AD8">
      <w:pPr>
        <w:ind w:left="709" w:hanging="709"/>
        <w:rPr>
          <w:rFonts w:ascii="Arial" w:eastAsia="Times New Roman" w:hAnsi="Arial" w:cs="Arial"/>
          <w:bCs/>
          <w:sz w:val="24"/>
          <w:szCs w:val="24"/>
        </w:rPr>
      </w:pPr>
    </w:p>
    <w:p w14:paraId="2A989D74" w14:textId="0D293851" w:rsidR="0096192C" w:rsidRPr="00A87AD8" w:rsidRDefault="0096192C" w:rsidP="00A87AD8">
      <w:pPr>
        <w:ind w:left="709" w:hanging="709"/>
        <w:rPr>
          <w:rFonts w:ascii="Arial" w:hAnsi="Arial" w:cs="Arial"/>
          <w:sz w:val="24"/>
          <w:szCs w:val="24"/>
        </w:rPr>
      </w:pPr>
      <w:r w:rsidRPr="00A87AD8">
        <w:rPr>
          <w:rFonts w:ascii="Arial" w:eastAsia="Times New Roman" w:hAnsi="Arial" w:cs="Arial"/>
          <w:bCs/>
          <w:sz w:val="24"/>
          <w:szCs w:val="24"/>
        </w:rPr>
        <w:t>5.</w:t>
      </w:r>
      <w:r w:rsidR="00843894">
        <w:rPr>
          <w:rFonts w:ascii="Arial" w:eastAsia="Times New Roman" w:hAnsi="Arial" w:cs="Arial"/>
          <w:bCs/>
          <w:sz w:val="24"/>
          <w:szCs w:val="24"/>
        </w:rPr>
        <w:t>5</w:t>
      </w:r>
      <w:r w:rsidRPr="00A87AD8">
        <w:rPr>
          <w:rFonts w:ascii="Arial" w:eastAsia="Times New Roman" w:hAnsi="Arial" w:cs="Arial"/>
          <w:bCs/>
          <w:sz w:val="24"/>
          <w:szCs w:val="24"/>
        </w:rPr>
        <w:tab/>
      </w:r>
      <w:r w:rsidRPr="00A87AD8">
        <w:rPr>
          <w:rFonts w:ascii="Arial" w:hAnsi="Arial" w:cs="Arial"/>
          <w:sz w:val="24"/>
          <w:szCs w:val="24"/>
        </w:rPr>
        <w:t xml:space="preserve">The MDT should establish whether there is any existing guidance or documentation regarding management of the risks associated with continued eating and drinking. </w:t>
      </w:r>
      <w:r w:rsidR="002C4B03">
        <w:rPr>
          <w:rFonts w:ascii="Arial" w:hAnsi="Arial" w:cs="Arial"/>
          <w:sz w:val="24"/>
          <w:szCs w:val="24"/>
        </w:rPr>
        <w:t xml:space="preserve"> </w:t>
      </w:r>
      <w:r w:rsidRPr="00A87AD8">
        <w:rPr>
          <w:rFonts w:ascii="Arial" w:hAnsi="Arial" w:cs="Arial"/>
          <w:sz w:val="24"/>
          <w:szCs w:val="24"/>
        </w:rPr>
        <w:t xml:space="preserve">Where this is identified, teams should ensure that the information is shared with all relevant people promptly. </w:t>
      </w:r>
      <w:r w:rsidR="002C4B03">
        <w:rPr>
          <w:rFonts w:ascii="Arial" w:hAnsi="Arial" w:cs="Arial"/>
          <w:sz w:val="24"/>
          <w:szCs w:val="24"/>
        </w:rPr>
        <w:t xml:space="preserve"> </w:t>
      </w:r>
      <w:r w:rsidRPr="00A87AD8">
        <w:rPr>
          <w:rFonts w:ascii="Arial" w:hAnsi="Arial" w:cs="Arial"/>
          <w:sz w:val="24"/>
          <w:szCs w:val="24"/>
        </w:rPr>
        <w:t xml:space="preserve">Such existing information might include written guidance on the recommended foods to try, the best times of day for the individual to eat and drink to minimise risks, or advice on how to offer food and drink more effectively to improve safe swallowing such as the rate of intake or the need to allow additional time to ensure food has fully cleared. </w:t>
      </w:r>
      <w:r w:rsidR="002C4B03">
        <w:rPr>
          <w:rFonts w:ascii="Arial" w:hAnsi="Arial" w:cs="Arial"/>
          <w:sz w:val="24"/>
          <w:szCs w:val="24"/>
        </w:rPr>
        <w:t xml:space="preserve"> </w:t>
      </w:r>
      <w:r w:rsidRPr="00A87AD8">
        <w:rPr>
          <w:rFonts w:ascii="Arial" w:hAnsi="Arial" w:cs="Arial"/>
          <w:sz w:val="24"/>
          <w:szCs w:val="24"/>
        </w:rPr>
        <w:t>Where such information is identified, members of the MDT should aim to establish where and when the plan was put in place and whether it remains relevant. In addition, the MDT should seek to liaise with the person who agreed the care plan wherever possible</w:t>
      </w:r>
      <w:r w:rsidR="00A943A5" w:rsidRPr="00A87AD8">
        <w:rPr>
          <w:rFonts w:ascii="Arial" w:hAnsi="Arial" w:cs="Arial"/>
          <w:sz w:val="24"/>
          <w:szCs w:val="24"/>
        </w:rPr>
        <w:t>.</w:t>
      </w:r>
    </w:p>
    <w:p w14:paraId="018440E2" w14:textId="77777777" w:rsidR="00A87AD8" w:rsidRPr="00A87AD8" w:rsidRDefault="00A87AD8" w:rsidP="00A87AD8">
      <w:pPr>
        <w:ind w:left="709" w:hanging="709"/>
        <w:rPr>
          <w:rFonts w:ascii="Arial" w:eastAsia="Times New Roman" w:hAnsi="Arial" w:cs="Arial"/>
          <w:bCs/>
          <w:sz w:val="24"/>
          <w:szCs w:val="24"/>
        </w:rPr>
      </w:pPr>
    </w:p>
    <w:p w14:paraId="130C2F8A" w14:textId="67038E08" w:rsidR="007409B7" w:rsidRPr="00A87AD8" w:rsidRDefault="0096192C" w:rsidP="00A87AD8">
      <w:pPr>
        <w:ind w:left="709" w:hanging="709"/>
        <w:rPr>
          <w:rFonts w:ascii="Arial" w:hAnsi="Arial" w:cs="Arial"/>
          <w:b/>
          <w:bCs/>
          <w:sz w:val="24"/>
          <w:szCs w:val="24"/>
        </w:rPr>
      </w:pPr>
      <w:r w:rsidRPr="00A87AD8">
        <w:rPr>
          <w:rFonts w:ascii="Arial" w:eastAsia="Times New Roman" w:hAnsi="Arial" w:cs="Arial"/>
          <w:bCs/>
          <w:sz w:val="24"/>
          <w:szCs w:val="24"/>
        </w:rPr>
        <w:tab/>
      </w:r>
      <w:r w:rsidRPr="00A87AD8">
        <w:rPr>
          <w:rFonts w:ascii="Arial" w:hAnsi="Arial" w:cs="Arial"/>
          <w:b/>
          <w:bCs/>
          <w:sz w:val="24"/>
          <w:szCs w:val="24"/>
        </w:rPr>
        <w:t xml:space="preserve">Document </w:t>
      </w:r>
      <w:r w:rsidR="00A8596D" w:rsidRPr="00A87AD8">
        <w:rPr>
          <w:rFonts w:ascii="Arial" w:hAnsi="Arial" w:cs="Arial"/>
          <w:b/>
          <w:bCs/>
          <w:sz w:val="24"/>
          <w:szCs w:val="24"/>
        </w:rPr>
        <w:t>Consent And Capacity Relating To Understanding Of The Current Difficulty</w:t>
      </w:r>
      <w:r w:rsidR="00A8596D">
        <w:rPr>
          <w:rFonts w:ascii="Arial" w:hAnsi="Arial" w:cs="Arial"/>
          <w:b/>
          <w:bCs/>
          <w:sz w:val="24"/>
          <w:szCs w:val="24"/>
        </w:rPr>
        <w:t xml:space="preserve"> </w:t>
      </w:r>
      <w:r w:rsidR="00A8596D" w:rsidRPr="00A87AD8">
        <w:rPr>
          <w:rFonts w:ascii="Arial" w:hAnsi="Arial" w:cs="Arial"/>
          <w:b/>
          <w:bCs/>
          <w:sz w:val="24"/>
          <w:szCs w:val="24"/>
        </w:rPr>
        <w:t>/</w:t>
      </w:r>
      <w:r w:rsidR="00A8596D">
        <w:rPr>
          <w:rFonts w:ascii="Arial" w:hAnsi="Arial" w:cs="Arial"/>
          <w:b/>
          <w:bCs/>
          <w:sz w:val="24"/>
          <w:szCs w:val="24"/>
        </w:rPr>
        <w:t xml:space="preserve"> </w:t>
      </w:r>
      <w:r w:rsidR="00A8596D" w:rsidRPr="00A87AD8">
        <w:rPr>
          <w:rFonts w:ascii="Arial" w:hAnsi="Arial" w:cs="Arial"/>
          <w:b/>
          <w:bCs/>
          <w:sz w:val="24"/>
          <w:szCs w:val="24"/>
        </w:rPr>
        <w:t>Concern And Capacity To Consent To Formal Swallowing Assessment</w:t>
      </w:r>
    </w:p>
    <w:p w14:paraId="641EF79C" w14:textId="130E0DDE" w:rsidR="0096192C" w:rsidRPr="00A87AD8" w:rsidRDefault="0096192C" w:rsidP="00A87AD8">
      <w:pPr>
        <w:ind w:left="709" w:hanging="709"/>
        <w:rPr>
          <w:rFonts w:ascii="Arial" w:eastAsia="Times New Roman" w:hAnsi="Arial" w:cs="Arial"/>
          <w:bCs/>
          <w:sz w:val="24"/>
          <w:szCs w:val="24"/>
        </w:rPr>
      </w:pPr>
    </w:p>
    <w:p w14:paraId="1D36AA3C" w14:textId="2DCDEFAE" w:rsidR="0096192C" w:rsidRDefault="0096192C" w:rsidP="00A87AD8">
      <w:pPr>
        <w:ind w:left="709" w:hanging="709"/>
        <w:rPr>
          <w:rFonts w:ascii="Arial" w:eastAsia="Times New Roman" w:hAnsi="Arial" w:cs="Arial"/>
          <w:bCs/>
          <w:sz w:val="24"/>
          <w:szCs w:val="24"/>
        </w:rPr>
      </w:pPr>
      <w:r w:rsidRPr="00A87AD8">
        <w:rPr>
          <w:rFonts w:ascii="Arial" w:eastAsia="Times New Roman" w:hAnsi="Arial" w:cs="Arial"/>
          <w:bCs/>
          <w:sz w:val="24"/>
          <w:szCs w:val="24"/>
        </w:rPr>
        <w:t>5.</w:t>
      </w:r>
      <w:r w:rsidR="00843894">
        <w:rPr>
          <w:rFonts w:ascii="Arial" w:eastAsia="Times New Roman" w:hAnsi="Arial" w:cs="Arial"/>
          <w:bCs/>
          <w:sz w:val="24"/>
          <w:szCs w:val="24"/>
        </w:rPr>
        <w:t>6</w:t>
      </w:r>
      <w:r w:rsidRPr="00A87AD8">
        <w:rPr>
          <w:rFonts w:ascii="Arial" w:eastAsia="Times New Roman" w:hAnsi="Arial" w:cs="Arial"/>
          <w:bCs/>
          <w:sz w:val="24"/>
          <w:szCs w:val="24"/>
        </w:rPr>
        <w:tab/>
      </w:r>
      <w:proofErr w:type="gramStart"/>
      <w:r w:rsidRPr="00A87AD8">
        <w:rPr>
          <w:rFonts w:ascii="Arial" w:eastAsia="Times New Roman" w:hAnsi="Arial" w:cs="Arial"/>
          <w:bCs/>
          <w:sz w:val="24"/>
          <w:szCs w:val="24"/>
        </w:rPr>
        <w:t>Individual’s</w:t>
      </w:r>
      <w:proofErr w:type="gramEnd"/>
      <w:r w:rsidRPr="00A87AD8">
        <w:rPr>
          <w:rFonts w:ascii="Arial" w:eastAsia="Times New Roman" w:hAnsi="Arial" w:cs="Arial"/>
          <w:bCs/>
          <w:sz w:val="24"/>
          <w:szCs w:val="24"/>
        </w:rPr>
        <w:t xml:space="preserve"> have the right to decline a formal assessment of their swallowing. If an individual with capacity who is experiencing oropharyngeal dysphagia (despite having the risks fully explained to them) declines to have their swallowing assessed this should be documented in their medical notes. </w:t>
      </w:r>
      <w:r w:rsidR="002C4B03">
        <w:rPr>
          <w:rFonts w:ascii="Arial" w:eastAsia="Times New Roman" w:hAnsi="Arial" w:cs="Arial"/>
          <w:bCs/>
          <w:sz w:val="24"/>
          <w:szCs w:val="24"/>
        </w:rPr>
        <w:t xml:space="preserve"> </w:t>
      </w:r>
      <w:r w:rsidRPr="00A87AD8">
        <w:rPr>
          <w:rFonts w:ascii="Arial" w:eastAsia="Times New Roman" w:hAnsi="Arial" w:cs="Arial"/>
          <w:bCs/>
          <w:sz w:val="24"/>
          <w:szCs w:val="24"/>
        </w:rPr>
        <w:t xml:space="preserve">In such cases Speech and Language Therapists are unable to provide any recommendations or care plan and the individual should be allowed to continue to eat and drink as they choose. </w:t>
      </w:r>
      <w:r w:rsidR="002C4B03">
        <w:rPr>
          <w:rFonts w:ascii="Arial" w:eastAsia="Times New Roman" w:hAnsi="Arial" w:cs="Arial"/>
          <w:bCs/>
          <w:sz w:val="24"/>
          <w:szCs w:val="24"/>
        </w:rPr>
        <w:t xml:space="preserve"> </w:t>
      </w:r>
      <w:r w:rsidRPr="00A87AD8">
        <w:rPr>
          <w:rFonts w:ascii="Arial" w:eastAsia="Times New Roman" w:hAnsi="Arial" w:cs="Arial"/>
          <w:bCs/>
          <w:sz w:val="24"/>
          <w:szCs w:val="24"/>
        </w:rPr>
        <w:t>Individuals making this choice should still be supported by Dietitians to maximise their nutritional intake, provided they have consented to input from a Dietitian.</w:t>
      </w:r>
    </w:p>
    <w:p w14:paraId="38C0586A" w14:textId="77777777" w:rsidR="00843894" w:rsidRPr="00A87AD8" w:rsidRDefault="00843894" w:rsidP="00A87AD8">
      <w:pPr>
        <w:ind w:left="709" w:hanging="709"/>
        <w:rPr>
          <w:rFonts w:ascii="Arial" w:eastAsia="Times New Roman" w:hAnsi="Arial" w:cs="Arial"/>
          <w:bCs/>
          <w:sz w:val="24"/>
          <w:szCs w:val="24"/>
        </w:rPr>
      </w:pPr>
    </w:p>
    <w:p w14:paraId="1C9A199E" w14:textId="2A499D9E" w:rsidR="0096192C" w:rsidRPr="00A87AD8" w:rsidRDefault="0096192C" w:rsidP="002C4B03">
      <w:pPr>
        <w:ind w:left="709" w:right="-64" w:hanging="709"/>
        <w:rPr>
          <w:rFonts w:ascii="Arial" w:eastAsia="Times New Roman" w:hAnsi="Arial" w:cs="Arial"/>
          <w:bCs/>
          <w:sz w:val="24"/>
          <w:szCs w:val="24"/>
        </w:rPr>
      </w:pPr>
      <w:r w:rsidRPr="00A87AD8">
        <w:rPr>
          <w:rFonts w:ascii="Arial" w:eastAsia="Times New Roman" w:hAnsi="Arial" w:cs="Arial"/>
          <w:bCs/>
          <w:sz w:val="24"/>
          <w:szCs w:val="24"/>
        </w:rPr>
        <w:t>5.</w:t>
      </w:r>
      <w:r w:rsidR="00843894">
        <w:rPr>
          <w:rFonts w:ascii="Arial" w:eastAsia="Times New Roman" w:hAnsi="Arial" w:cs="Arial"/>
          <w:bCs/>
          <w:sz w:val="24"/>
          <w:szCs w:val="24"/>
        </w:rPr>
        <w:t>7</w:t>
      </w:r>
      <w:r w:rsidRPr="00A87AD8">
        <w:rPr>
          <w:rFonts w:ascii="Arial" w:eastAsia="Times New Roman" w:hAnsi="Arial" w:cs="Arial"/>
          <w:bCs/>
          <w:sz w:val="24"/>
          <w:szCs w:val="24"/>
        </w:rPr>
        <w:tab/>
        <w:t xml:space="preserve">When an individual is unable to consent to a referral </w:t>
      </w:r>
      <w:r w:rsidR="00170460" w:rsidRPr="00A87AD8">
        <w:rPr>
          <w:rFonts w:ascii="Arial" w:eastAsia="Times New Roman" w:hAnsi="Arial" w:cs="Arial"/>
          <w:bCs/>
          <w:sz w:val="24"/>
          <w:szCs w:val="24"/>
        </w:rPr>
        <w:t>to Speech and Language Therapy or to a formal assessment of their swallowing, a decision will be made in their Best Interests in accordance with the Mental Capacity Act (2005).</w:t>
      </w:r>
    </w:p>
    <w:p w14:paraId="6824194F" w14:textId="4BEBCB15" w:rsidR="00170460" w:rsidRPr="00A87AD8" w:rsidRDefault="00170460" w:rsidP="00A87AD8">
      <w:pPr>
        <w:ind w:left="709" w:hanging="709"/>
        <w:rPr>
          <w:rFonts w:ascii="Arial" w:eastAsia="Times New Roman" w:hAnsi="Arial" w:cs="Arial"/>
          <w:bCs/>
          <w:sz w:val="24"/>
          <w:szCs w:val="24"/>
        </w:rPr>
      </w:pPr>
    </w:p>
    <w:p w14:paraId="2FDAC73C" w14:textId="0BE68DAC" w:rsidR="00170460" w:rsidRPr="00A87AD8" w:rsidRDefault="00170460" w:rsidP="00A87AD8">
      <w:pPr>
        <w:ind w:left="709" w:hanging="709"/>
        <w:rPr>
          <w:rFonts w:ascii="Arial" w:eastAsia="Times New Roman" w:hAnsi="Arial" w:cs="Arial"/>
          <w:bCs/>
          <w:sz w:val="24"/>
          <w:szCs w:val="24"/>
        </w:rPr>
      </w:pPr>
      <w:r w:rsidRPr="00A87AD8">
        <w:rPr>
          <w:rFonts w:ascii="Arial" w:eastAsia="Times New Roman" w:hAnsi="Arial" w:cs="Arial"/>
          <w:bCs/>
          <w:sz w:val="24"/>
          <w:szCs w:val="24"/>
        </w:rPr>
        <w:tab/>
      </w:r>
      <w:r w:rsidRPr="00A87AD8">
        <w:rPr>
          <w:rFonts w:ascii="Arial" w:eastAsia="Times New Roman" w:hAnsi="Arial" w:cs="Arial"/>
          <w:b/>
          <w:sz w:val="24"/>
          <w:szCs w:val="24"/>
        </w:rPr>
        <w:t xml:space="preserve">Formal Swallowing Assessment Carried </w:t>
      </w:r>
      <w:r w:rsidR="00A8596D" w:rsidRPr="00A87AD8">
        <w:rPr>
          <w:rFonts w:ascii="Arial" w:eastAsia="Times New Roman" w:hAnsi="Arial" w:cs="Arial"/>
          <w:b/>
          <w:sz w:val="24"/>
          <w:szCs w:val="24"/>
        </w:rPr>
        <w:t xml:space="preserve">Out By </w:t>
      </w:r>
      <w:r w:rsidRPr="00A87AD8">
        <w:rPr>
          <w:rFonts w:ascii="Arial" w:eastAsia="Times New Roman" w:hAnsi="Arial" w:cs="Arial"/>
          <w:b/>
          <w:sz w:val="24"/>
          <w:szCs w:val="24"/>
        </w:rPr>
        <w:t>SLT</w:t>
      </w:r>
    </w:p>
    <w:p w14:paraId="0FF13C3A" w14:textId="231DB437" w:rsidR="00170460" w:rsidRPr="00A87AD8" w:rsidRDefault="00170460" w:rsidP="00A87AD8">
      <w:pPr>
        <w:ind w:left="709" w:hanging="709"/>
        <w:rPr>
          <w:rFonts w:ascii="Arial" w:eastAsia="Times New Roman" w:hAnsi="Arial" w:cs="Arial"/>
          <w:bCs/>
          <w:sz w:val="24"/>
          <w:szCs w:val="24"/>
        </w:rPr>
      </w:pPr>
    </w:p>
    <w:p w14:paraId="42C116F7" w14:textId="0EFB9A65" w:rsidR="00170460" w:rsidRPr="00A87AD8" w:rsidRDefault="00170460" w:rsidP="00A87AD8">
      <w:pPr>
        <w:pStyle w:val="Default"/>
        <w:ind w:left="709" w:hanging="709"/>
        <w:rPr>
          <w:rFonts w:ascii="Arial" w:eastAsia="Times New Roman" w:hAnsi="Arial" w:cs="Arial"/>
          <w:bCs/>
        </w:rPr>
      </w:pPr>
      <w:r w:rsidRPr="00A87AD8">
        <w:rPr>
          <w:rFonts w:ascii="Arial" w:eastAsia="Times New Roman" w:hAnsi="Arial" w:cs="Arial"/>
          <w:bCs/>
        </w:rPr>
        <w:t>5.</w:t>
      </w:r>
      <w:r w:rsidR="00843894">
        <w:rPr>
          <w:rFonts w:ascii="Arial" w:eastAsia="Times New Roman" w:hAnsi="Arial" w:cs="Arial"/>
          <w:bCs/>
        </w:rPr>
        <w:t>8</w:t>
      </w:r>
      <w:r w:rsidRPr="00A87AD8">
        <w:rPr>
          <w:rFonts w:ascii="Arial" w:eastAsia="Times New Roman" w:hAnsi="Arial" w:cs="Arial"/>
          <w:bCs/>
        </w:rPr>
        <w:tab/>
        <w:t xml:space="preserve">The SLT will conduct a formal swallowing assessment </w:t>
      </w:r>
      <w:proofErr w:type="gramStart"/>
      <w:r w:rsidRPr="00A87AD8">
        <w:rPr>
          <w:rFonts w:ascii="Arial" w:eastAsia="Times New Roman" w:hAnsi="Arial" w:cs="Arial"/>
          <w:bCs/>
        </w:rPr>
        <w:t>in order to</w:t>
      </w:r>
      <w:proofErr w:type="gramEnd"/>
      <w:r w:rsidRPr="00A87AD8">
        <w:rPr>
          <w:rFonts w:ascii="Arial" w:eastAsia="Times New Roman" w:hAnsi="Arial" w:cs="Arial"/>
          <w:bCs/>
        </w:rPr>
        <w:t xml:space="preserve"> determine any interventions and support that may help to reduce risks associated with the individual’s dysphagia.</w:t>
      </w:r>
      <w:r w:rsidR="002C4B03">
        <w:rPr>
          <w:rFonts w:ascii="Arial" w:eastAsia="Times New Roman" w:hAnsi="Arial" w:cs="Arial"/>
          <w:bCs/>
        </w:rPr>
        <w:t xml:space="preserve"> </w:t>
      </w:r>
      <w:r w:rsidRPr="00A87AD8">
        <w:rPr>
          <w:rFonts w:ascii="Arial" w:eastAsia="Times New Roman" w:hAnsi="Arial" w:cs="Arial"/>
          <w:bCs/>
        </w:rPr>
        <w:t xml:space="preserve"> For example risks may be reduced by appropriate mouth care routines, advice on optimal textures, positioning, equipment, the environment, level of assistance and supervision as well as facilitated eating and drinking.</w:t>
      </w:r>
    </w:p>
    <w:p w14:paraId="3E20C8C8" w14:textId="77777777" w:rsidR="00B376A4" w:rsidRPr="00A87AD8" w:rsidRDefault="00B376A4" w:rsidP="00A87AD8">
      <w:pPr>
        <w:pStyle w:val="Default"/>
        <w:ind w:left="709" w:hanging="709"/>
        <w:rPr>
          <w:rFonts w:ascii="Arial" w:eastAsia="Times New Roman" w:hAnsi="Arial" w:cs="Arial"/>
          <w:bCs/>
        </w:rPr>
      </w:pPr>
    </w:p>
    <w:p w14:paraId="2956AD6A" w14:textId="572F13BD" w:rsidR="00B376A4" w:rsidRPr="00A87AD8" w:rsidRDefault="00B376A4" w:rsidP="00A87AD8">
      <w:pPr>
        <w:pStyle w:val="Default"/>
        <w:ind w:left="709" w:hanging="709"/>
        <w:rPr>
          <w:rFonts w:ascii="Arial" w:eastAsia="Times New Roman" w:hAnsi="Arial" w:cs="Arial"/>
          <w:bCs/>
        </w:rPr>
      </w:pPr>
      <w:r w:rsidRPr="00A87AD8">
        <w:rPr>
          <w:rFonts w:ascii="Arial" w:eastAsia="Times New Roman" w:hAnsi="Arial" w:cs="Arial"/>
          <w:bCs/>
        </w:rPr>
        <w:t>5.</w:t>
      </w:r>
      <w:r w:rsidR="00843894">
        <w:rPr>
          <w:rFonts w:ascii="Arial" w:eastAsia="Times New Roman" w:hAnsi="Arial" w:cs="Arial"/>
          <w:bCs/>
        </w:rPr>
        <w:t>9</w:t>
      </w:r>
      <w:r w:rsidRPr="00A87AD8">
        <w:rPr>
          <w:rFonts w:ascii="Arial" w:eastAsia="Times New Roman" w:hAnsi="Arial" w:cs="Arial"/>
          <w:bCs/>
        </w:rPr>
        <w:tab/>
        <w:t xml:space="preserve">The SLT will determine whether further objective assessments such as </w:t>
      </w:r>
      <w:r w:rsidR="00A87AD8" w:rsidRPr="00A87AD8">
        <w:rPr>
          <w:rFonts w:ascii="Arial" w:eastAsia="Times New Roman" w:hAnsi="Arial" w:cs="Arial"/>
          <w:bCs/>
        </w:rPr>
        <w:t>videofluoroscopy</w:t>
      </w:r>
      <w:r w:rsidRPr="00A87AD8">
        <w:rPr>
          <w:rFonts w:ascii="Arial" w:eastAsia="Times New Roman" w:hAnsi="Arial" w:cs="Arial"/>
          <w:bCs/>
        </w:rPr>
        <w:t xml:space="preserve"> or FEES are required to support the decision making process.</w:t>
      </w:r>
    </w:p>
    <w:p w14:paraId="18BBBEDE" w14:textId="75961460" w:rsidR="00170460" w:rsidRPr="00A87AD8" w:rsidRDefault="00170460" w:rsidP="00A87AD8">
      <w:pPr>
        <w:pStyle w:val="Default"/>
        <w:rPr>
          <w:rFonts w:ascii="Arial" w:eastAsia="Times New Roman" w:hAnsi="Arial" w:cs="Arial"/>
          <w:bCs/>
        </w:rPr>
      </w:pPr>
    </w:p>
    <w:p w14:paraId="19989CE4" w14:textId="59C0E2E7" w:rsidR="00170460" w:rsidRPr="00A87AD8" w:rsidRDefault="00170460" w:rsidP="00A87AD8">
      <w:pPr>
        <w:pStyle w:val="Default"/>
        <w:ind w:left="709" w:hanging="709"/>
        <w:rPr>
          <w:rFonts w:ascii="Arial" w:eastAsia="Times New Roman" w:hAnsi="Arial" w:cs="Arial"/>
          <w:bCs/>
        </w:rPr>
      </w:pPr>
      <w:r w:rsidRPr="00A87AD8">
        <w:rPr>
          <w:rFonts w:ascii="Arial" w:eastAsia="Times New Roman" w:hAnsi="Arial" w:cs="Arial"/>
          <w:bCs/>
        </w:rPr>
        <w:t>5.</w:t>
      </w:r>
      <w:r w:rsidR="00843894">
        <w:rPr>
          <w:rFonts w:ascii="Arial" w:eastAsia="Times New Roman" w:hAnsi="Arial" w:cs="Arial"/>
          <w:bCs/>
        </w:rPr>
        <w:t>10</w:t>
      </w:r>
      <w:r w:rsidRPr="00A87AD8">
        <w:rPr>
          <w:rFonts w:ascii="Arial" w:eastAsia="Times New Roman" w:hAnsi="Arial" w:cs="Arial"/>
          <w:bCs/>
        </w:rPr>
        <w:tab/>
        <w:t xml:space="preserve">The SLT will have discussions with the individual and those closest to them in relation to individual beliefs and preferences associated with eating and </w:t>
      </w:r>
      <w:r w:rsidRPr="00A87AD8">
        <w:rPr>
          <w:rFonts w:ascii="Arial" w:eastAsia="Times New Roman" w:hAnsi="Arial" w:cs="Arial"/>
          <w:bCs/>
        </w:rPr>
        <w:lastRenderedPageBreak/>
        <w:t>drinking, such as food preferences</w:t>
      </w:r>
      <w:r w:rsidR="00B376A4" w:rsidRPr="00A87AD8">
        <w:rPr>
          <w:rFonts w:ascii="Arial" w:eastAsia="Times New Roman" w:hAnsi="Arial" w:cs="Arial"/>
          <w:bCs/>
        </w:rPr>
        <w:t xml:space="preserve">, mealtime routines and cultural, </w:t>
      </w:r>
      <w:proofErr w:type="gramStart"/>
      <w:r w:rsidR="00B376A4" w:rsidRPr="00A87AD8">
        <w:rPr>
          <w:rFonts w:ascii="Arial" w:eastAsia="Times New Roman" w:hAnsi="Arial" w:cs="Arial"/>
          <w:bCs/>
        </w:rPr>
        <w:t>religious</w:t>
      </w:r>
      <w:proofErr w:type="gramEnd"/>
      <w:r w:rsidR="00B376A4" w:rsidRPr="00A87AD8">
        <w:rPr>
          <w:rFonts w:ascii="Arial" w:eastAsia="Times New Roman" w:hAnsi="Arial" w:cs="Arial"/>
          <w:bCs/>
        </w:rPr>
        <w:t xml:space="preserve"> and spiritual beliefs. </w:t>
      </w:r>
    </w:p>
    <w:p w14:paraId="02D94F0F" w14:textId="77777777" w:rsidR="00170460" w:rsidRPr="00A87AD8" w:rsidRDefault="00170460" w:rsidP="00A87AD8">
      <w:pPr>
        <w:pStyle w:val="Default"/>
        <w:rPr>
          <w:rFonts w:ascii="Arial" w:hAnsi="Arial" w:cs="Arial"/>
        </w:rPr>
      </w:pPr>
    </w:p>
    <w:p w14:paraId="4D4ADCFB" w14:textId="655ED9EC" w:rsidR="00B376A4" w:rsidRPr="00A87AD8" w:rsidRDefault="00B376A4" w:rsidP="00A87AD8">
      <w:pPr>
        <w:pStyle w:val="Default"/>
        <w:ind w:left="709" w:hanging="709"/>
        <w:rPr>
          <w:rFonts w:ascii="Arial" w:hAnsi="Arial" w:cs="Arial"/>
        </w:rPr>
      </w:pPr>
      <w:r w:rsidRPr="00A87AD8">
        <w:rPr>
          <w:rFonts w:ascii="Arial" w:hAnsi="Arial" w:cs="Arial"/>
        </w:rPr>
        <w:t>5.</w:t>
      </w:r>
      <w:r w:rsidR="00843894">
        <w:rPr>
          <w:rFonts w:ascii="Arial" w:hAnsi="Arial" w:cs="Arial"/>
        </w:rPr>
        <w:t>11</w:t>
      </w:r>
      <w:r w:rsidRPr="00A87AD8">
        <w:rPr>
          <w:rFonts w:ascii="Arial" w:hAnsi="Arial" w:cs="Arial"/>
        </w:rPr>
        <w:tab/>
        <w:t xml:space="preserve">The SLT will </w:t>
      </w:r>
      <w:proofErr w:type="gramStart"/>
      <w:r w:rsidRPr="00A87AD8">
        <w:rPr>
          <w:rFonts w:ascii="Arial" w:hAnsi="Arial" w:cs="Arial"/>
        </w:rPr>
        <w:t>give consideration to</w:t>
      </w:r>
      <w:proofErr w:type="gramEnd"/>
      <w:r w:rsidRPr="00A87AD8">
        <w:rPr>
          <w:rFonts w:ascii="Arial" w:hAnsi="Arial" w:cs="Arial"/>
        </w:rPr>
        <w:t xml:space="preserve"> the psychosocial impact of dysphagia and its associated interventions on a person's wellbeing. </w:t>
      </w:r>
      <w:r w:rsidR="002C4B03">
        <w:rPr>
          <w:rFonts w:ascii="Arial" w:hAnsi="Arial" w:cs="Arial"/>
        </w:rPr>
        <w:t xml:space="preserve"> </w:t>
      </w:r>
      <w:r w:rsidRPr="00A87AD8">
        <w:rPr>
          <w:rFonts w:ascii="Arial" w:hAnsi="Arial" w:cs="Arial"/>
        </w:rPr>
        <w:t xml:space="preserve">These are necessary components to factor into a supportive framework of decision-making around eating and drinking with acknowledged risks. </w:t>
      </w:r>
    </w:p>
    <w:p w14:paraId="42C7F764" w14:textId="77777777" w:rsidR="00B376A4" w:rsidRPr="00A87AD8" w:rsidRDefault="00B376A4" w:rsidP="00A87AD8">
      <w:pPr>
        <w:pStyle w:val="Default"/>
        <w:ind w:left="709" w:hanging="709"/>
        <w:rPr>
          <w:rFonts w:ascii="Arial" w:hAnsi="Arial" w:cs="Arial"/>
        </w:rPr>
      </w:pPr>
    </w:p>
    <w:p w14:paraId="09C0FD1D" w14:textId="3B7B0DD1" w:rsidR="00B376A4" w:rsidRPr="00A87AD8" w:rsidRDefault="00B376A4" w:rsidP="00A87AD8">
      <w:pPr>
        <w:pStyle w:val="Default"/>
        <w:ind w:left="709" w:hanging="709"/>
        <w:rPr>
          <w:rFonts w:ascii="Arial" w:hAnsi="Arial" w:cs="Arial"/>
        </w:rPr>
      </w:pPr>
      <w:r w:rsidRPr="00A87AD8">
        <w:rPr>
          <w:rFonts w:ascii="Arial" w:hAnsi="Arial" w:cs="Arial"/>
        </w:rPr>
        <w:t>5.</w:t>
      </w:r>
      <w:r w:rsidR="00843894">
        <w:rPr>
          <w:rFonts w:ascii="Arial" w:hAnsi="Arial" w:cs="Arial"/>
        </w:rPr>
        <w:t>12</w:t>
      </w:r>
      <w:r w:rsidRPr="00A87AD8">
        <w:rPr>
          <w:rFonts w:ascii="Arial" w:hAnsi="Arial" w:cs="Arial"/>
        </w:rPr>
        <w:tab/>
        <w:t>The SLT will document and discuss with the individual whether the dysphagia risks can be mitigated with various strategies (as outlined in 5.</w:t>
      </w:r>
      <w:r w:rsidR="00952DFC">
        <w:rPr>
          <w:rFonts w:ascii="Arial" w:hAnsi="Arial" w:cs="Arial"/>
        </w:rPr>
        <w:t>8</w:t>
      </w:r>
      <w:r w:rsidRPr="00A87AD8">
        <w:rPr>
          <w:rFonts w:ascii="Arial" w:hAnsi="Arial" w:cs="Arial"/>
        </w:rPr>
        <w:t>) or whether the swallowing is unsafe and CAN</w:t>
      </w:r>
      <w:r w:rsidR="002C4B03">
        <w:rPr>
          <w:rFonts w:ascii="Arial" w:hAnsi="Arial" w:cs="Arial"/>
        </w:rPr>
        <w:t>H</w:t>
      </w:r>
      <w:r w:rsidRPr="00A87AD8">
        <w:rPr>
          <w:rFonts w:ascii="Arial" w:hAnsi="Arial" w:cs="Arial"/>
        </w:rPr>
        <w:t xml:space="preserve"> needs to be considered.</w:t>
      </w:r>
      <w:r w:rsidR="002C4B03">
        <w:rPr>
          <w:rFonts w:ascii="Arial" w:hAnsi="Arial" w:cs="Arial"/>
        </w:rPr>
        <w:t xml:space="preserve"> </w:t>
      </w:r>
      <w:r w:rsidRPr="00A87AD8">
        <w:rPr>
          <w:rFonts w:ascii="Arial" w:hAnsi="Arial" w:cs="Arial"/>
        </w:rPr>
        <w:t xml:space="preserve"> The SLT will document </w:t>
      </w:r>
      <w:r w:rsidR="009D75BE" w:rsidRPr="00A87AD8">
        <w:rPr>
          <w:rFonts w:ascii="Arial" w:hAnsi="Arial" w:cs="Arial"/>
        </w:rPr>
        <w:t>the outcome of the discussion with the patient (or their family member</w:t>
      </w:r>
      <w:r w:rsidR="002C4B03">
        <w:rPr>
          <w:rFonts w:ascii="Arial" w:hAnsi="Arial" w:cs="Arial"/>
        </w:rPr>
        <w:t xml:space="preserve"> </w:t>
      </w:r>
      <w:r w:rsidR="009D75BE" w:rsidRPr="00A87AD8">
        <w:rPr>
          <w:rFonts w:ascii="Arial" w:hAnsi="Arial" w:cs="Arial"/>
        </w:rPr>
        <w:t>/</w:t>
      </w:r>
      <w:r w:rsidR="002C4B03">
        <w:rPr>
          <w:rFonts w:ascii="Arial" w:hAnsi="Arial" w:cs="Arial"/>
        </w:rPr>
        <w:t xml:space="preserve"> </w:t>
      </w:r>
      <w:r w:rsidR="009D75BE" w:rsidRPr="00A87AD8">
        <w:rPr>
          <w:rFonts w:ascii="Arial" w:hAnsi="Arial" w:cs="Arial"/>
        </w:rPr>
        <w:t>carer if they lack capacity) and the initial thoughts</w:t>
      </w:r>
      <w:r w:rsidR="000027F3">
        <w:rPr>
          <w:rFonts w:ascii="Arial" w:hAnsi="Arial" w:cs="Arial"/>
        </w:rPr>
        <w:t xml:space="preserve"> </w:t>
      </w:r>
      <w:r w:rsidR="009D75BE" w:rsidRPr="00A87AD8">
        <w:rPr>
          <w:rFonts w:ascii="Arial" w:hAnsi="Arial" w:cs="Arial"/>
        </w:rPr>
        <w:t>/</w:t>
      </w:r>
      <w:r w:rsidR="000027F3">
        <w:rPr>
          <w:rFonts w:ascii="Arial" w:hAnsi="Arial" w:cs="Arial"/>
        </w:rPr>
        <w:t xml:space="preserve"> </w:t>
      </w:r>
      <w:r w:rsidR="009D75BE" w:rsidRPr="00A87AD8">
        <w:rPr>
          <w:rFonts w:ascii="Arial" w:hAnsi="Arial" w:cs="Arial"/>
        </w:rPr>
        <w:t>decision of the patient.</w:t>
      </w:r>
    </w:p>
    <w:p w14:paraId="73D956E2" w14:textId="77777777" w:rsidR="00B376A4" w:rsidRPr="00A87AD8" w:rsidRDefault="00B376A4" w:rsidP="00A87AD8">
      <w:pPr>
        <w:pStyle w:val="Default"/>
        <w:rPr>
          <w:rFonts w:ascii="Arial" w:hAnsi="Arial" w:cs="Arial"/>
          <w:color w:val="auto"/>
        </w:rPr>
      </w:pPr>
    </w:p>
    <w:p w14:paraId="7010B771" w14:textId="68D819A0" w:rsidR="00170460" w:rsidRPr="00A87AD8" w:rsidRDefault="00D63781" w:rsidP="00A87AD8">
      <w:pPr>
        <w:ind w:left="709" w:hanging="709"/>
        <w:rPr>
          <w:rFonts w:ascii="Arial" w:eastAsia="Times New Roman" w:hAnsi="Arial" w:cs="Arial"/>
          <w:bCs/>
          <w:sz w:val="24"/>
          <w:szCs w:val="24"/>
        </w:rPr>
      </w:pPr>
      <w:r>
        <w:rPr>
          <w:rFonts w:ascii="Arial" w:hAnsi="Arial" w:cs="Arial"/>
          <w:sz w:val="24"/>
          <w:szCs w:val="24"/>
        </w:rPr>
        <w:t>5.</w:t>
      </w:r>
      <w:r w:rsidR="00843894">
        <w:rPr>
          <w:rFonts w:ascii="Arial" w:hAnsi="Arial" w:cs="Arial"/>
          <w:sz w:val="24"/>
          <w:szCs w:val="24"/>
        </w:rPr>
        <w:t>13</w:t>
      </w:r>
      <w:r>
        <w:rPr>
          <w:rFonts w:ascii="Arial" w:hAnsi="Arial" w:cs="Arial"/>
          <w:sz w:val="24"/>
          <w:szCs w:val="24"/>
        </w:rPr>
        <w:tab/>
      </w:r>
      <w:r w:rsidR="00B376A4" w:rsidRPr="00A87AD8">
        <w:rPr>
          <w:rFonts w:ascii="Arial" w:hAnsi="Arial" w:cs="Arial"/>
          <w:sz w:val="24"/>
          <w:szCs w:val="24"/>
        </w:rPr>
        <w:t xml:space="preserve">In the instance where an SLT is unavailable, local guidelines should be followed. </w:t>
      </w:r>
      <w:r w:rsidR="004B27A0">
        <w:rPr>
          <w:rFonts w:ascii="Arial" w:hAnsi="Arial" w:cs="Arial"/>
          <w:sz w:val="24"/>
          <w:szCs w:val="24"/>
        </w:rPr>
        <w:t xml:space="preserve"> </w:t>
      </w:r>
    </w:p>
    <w:p w14:paraId="72F927C9" w14:textId="5B782FFF" w:rsidR="007409B7" w:rsidRPr="00A87AD8" w:rsidRDefault="007409B7" w:rsidP="00A87AD8">
      <w:pPr>
        <w:ind w:left="709" w:hanging="709"/>
        <w:rPr>
          <w:rFonts w:ascii="Arial" w:eastAsia="Times New Roman" w:hAnsi="Arial" w:cs="Arial"/>
          <w:bCs/>
          <w:sz w:val="24"/>
          <w:szCs w:val="24"/>
        </w:rPr>
      </w:pPr>
    </w:p>
    <w:p w14:paraId="6BEDF38A" w14:textId="23CCD706" w:rsidR="007409B7" w:rsidRPr="00A87AD8" w:rsidRDefault="009D75BE" w:rsidP="00A87AD8">
      <w:pPr>
        <w:autoSpaceDE w:val="0"/>
        <w:autoSpaceDN w:val="0"/>
        <w:adjustRightInd w:val="0"/>
        <w:rPr>
          <w:rFonts w:ascii="Arial" w:hAnsi="Arial" w:cs="Arial"/>
          <w:color w:val="000000"/>
          <w:sz w:val="24"/>
          <w:szCs w:val="24"/>
        </w:rPr>
      </w:pPr>
      <w:r w:rsidRPr="00A87AD8">
        <w:rPr>
          <w:rFonts w:ascii="Arial" w:hAnsi="Arial" w:cs="Arial"/>
          <w:color w:val="000000"/>
          <w:sz w:val="24"/>
          <w:szCs w:val="24"/>
        </w:rPr>
        <w:tab/>
      </w:r>
      <w:r w:rsidRPr="00A87AD8">
        <w:rPr>
          <w:rFonts w:ascii="Arial" w:hAnsi="Arial" w:cs="Arial"/>
          <w:b/>
          <w:bCs/>
          <w:color w:val="000000"/>
          <w:sz w:val="24"/>
          <w:szCs w:val="24"/>
        </w:rPr>
        <w:t xml:space="preserve">Determine </w:t>
      </w:r>
      <w:r w:rsidR="00A8596D">
        <w:rPr>
          <w:rFonts w:ascii="Arial" w:hAnsi="Arial" w:cs="Arial"/>
          <w:b/>
          <w:bCs/>
          <w:color w:val="000000"/>
          <w:sz w:val="24"/>
          <w:szCs w:val="24"/>
        </w:rPr>
        <w:t>W</w:t>
      </w:r>
      <w:r w:rsidRPr="00A87AD8">
        <w:rPr>
          <w:rFonts w:ascii="Arial" w:hAnsi="Arial" w:cs="Arial"/>
          <w:b/>
          <w:bCs/>
          <w:color w:val="000000"/>
          <w:sz w:val="24"/>
          <w:szCs w:val="24"/>
        </w:rPr>
        <w:t>hether CAN</w:t>
      </w:r>
      <w:r w:rsidR="002C4B03">
        <w:rPr>
          <w:rFonts w:ascii="Arial" w:hAnsi="Arial" w:cs="Arial"/>
          <w:b/>
          <w:bCs/>
          <w:color w:val="000000"/>
          <w:sz w:val="24"/>
          <w:szCs w:val="24"/>
        </w:rPr>
        <w:t>H</w:t>
      </w:r>
      <w:r w:rsidRPr="00A87AD8">
        <w:rPr>
          <w:rFonts w:ascii="Arial" w:hAnsi="Arial" w:cs="Arial"/>
          <w:b/>
          <w:bCs/>
          <w:color w:val="000000"/>
          <w:sz w:val="24"/>
          <w:szCs w:val="24"/>
        </w:rPr>
        <w:t xml:space="preserve"> </w:t>
      </w:r>
      <w:r w:rsidR="00A8596D" w:rsidRPr="00A87AD8">
        <w:rPr>
          <w:rFonts w:ascii="Arial" w:hAnsi="Arial" w:cs="Arial"/>
          <w:b/>
          <w:bCs/>
          <w:color w:val="000000"/>
          <w:sz w:val="24"/>
          <w:szCs w:val="24"/>
        </w:rPr>
        <w:t>Is Appropriate</w:t>
      </w:r>
      <w:r w:rsidR="00A8596D" w:rsidRPr="00A87AD8">
        <w:rPr>
          <w:rFonts w:ascii="Arial" w:hAnsi="Arial" w:cs="Arial"/>
          <w:color w:val="000000"/>
          <w:sz w:val="24"/>
          <w:szCs w:val="24"/>
        </w:rPr>
        <w:t xml:space="preserve"> </w:t>
      </w:r>
    </w:p>
    <w:p w14:paraId="47972BC7" w14:textId="0D7742F8" w:rsidR="009D75BE" w:rsidRPr="00A87AD8" w:rsidRDefault="009D75BE" w:rsidP="00A87AD8">
      <w:pPr>
        <w:autoSpaceDE w:val="0"/>
        <w:autoSpaceDN w:val="0"/>
        <w:adjustRightInd w:val="0"/>
        <w:rPr>
          <w:rFonts w:ascii="Arial" w:hAnsi="Arial" w:cs="Arial"/>
          <w:color w:val="000000"/>
          <w:sz w:val="24"/>
          <w:szCs w:val="24"/>
        </w:rPr>
      </w:pPr>
    </w:p>
    <w:p w14:paraId="3350D71F" w14:textId="4E8C3A08" w:rsidR="009D75BE" w:rsidRPr="00A87AD8" w:rsidRDefault="00D63781" w:rsidP="00D63781">
      <w:pPr>
        <w:autoSpaceDE w:val="0"/>
        <w:autoSpaceDN w:val="0"/>
        <w:adjustRightInd w:val="0"/>
        <w:ind w:left="720" w:hanging="720"/>
        <w:rPr>
          <w:rFonts w:ascii="Arial" w:hAnsi="Arial" w:cs="Arial"/>
          <w:color w:val="000000" w:themeColor="text1"/>
          <w:sz w:val="24"/>
          <w:szCs w:val="24"/>
        </w:rPr>
      </w:pPr>
      <w:r>
        <w:rPr>
          <w:rFonts w:ascii="Arial" w:hAnsi="Arial" w:cs="Arial"/>
          <w:color w:val="000000" w:themeColor="text1"/>
          <w:sz w:val="24"/>
          <w:szCs w:val="24"/>
        </w:rPr>
        <w:t>5.1</w:t>
      </w:r>
      <w:r w:rsidR="00843894">
        <w:rPr>
          <w:rFonts w:ascii="Arial" w:hAnsi="Arial" w:cs="Arial"/>
          <w:color w:val="000000" w:themeColor="text1"/>
          <w:sz w:val="24"/>
          <w:szCs w:val="24"/>
        </w:rPr>
        <w:t>4</w:t>
      </w:r>
      <w:r>
        <w:rPr>
          <w:rFonts w:ascii="Arial" w:hAnsi="Arial" w:cs="Arial"/>
          <w:color w:val="000000" w:themeColor="text1"/>
          <w:sz w:val="24"/>
          <w:szCs w:val="24"/>
        </w:rPr>
        <w:tab/>
      </w:r>
      <w:r w:rsidR="00A943A5" w:rsidRPr="00A87AD8">
        <w:rPr>
          <w:rFonts w:ascii="Arial" w:hAnsi="Arial" w:cs="Arial"/>
          <w:color w:val="000000" w:themeColor="text1"/>
          <w:sz w:val="24"/>
          <w:szCs w:val="24"/>
        </w:rPr>
        <w:t>Healthcare professionals should work together when considering whether CAN</w:t>
      </w:r>
      <w:r w:rsidR="004B27A0">
        <w:rPr>
          <w:rFonts w:ascii="Arial" w:hAnsi="Arial" w:cs="Arial"/>
          <w:color w:val="000000" w:themeColor="text1"/>
          <w:sz w:val="24"/>
          <w:szCs w:val="24"/>
        </w:rPr>
        <w:t>H</w:t>
      </w:r>
      <w:r w:rsidR="00A943A5" w:rsidRPr="00A87AD8">
        <w:rPr>
          <w:rFonts w:ascii="Arial" w:hAnsi="Arial" w:cs="Arial"/>
          <w:color w:val="000000" w:themeColor="text1"/>
          <w:sz w:val="24"/>
          <w:szCs w:val="24"/>
        </w:rPr>
        <w:t xml:space="preserve"> is appropriate. </w:t>
      </w:r>
      <w:r w:rsidR="004B27A0">
        <w:rPr>
          <w:rFonts w:ascii="Arial" w:hAnsi="Arial" w:cs="Arial"/>
          <w:color w:val="000000" w:themeColor="text1"/>
          <w:sz w:val="24"/>
          <w:szCs w:val="24"/>
        </w:rPr>
        <w:t xml:space="preserve"> </w:t>
      </w:r>
      <w:r w:rsidR="00DC4728" w:rsidRPr="00A87AD8">
        <w:rPr>
          <w:rFonts w:ascii="Arial" w:hAnsi="Arial" w:cs="Arial"/>
          <w:color w:val="000000" w:themeColor="text1"/>
          <w:sz w:val="24"/>
          <w:szCs w:val="24"/>
        </w:rPr>
        <w:t xml:space="preserve">Healthcare professionals should refer to the Trust’s guidance document </w:t>
      </w:r>
      <w:r w:rsidR="00DC4728" w:rsidRPr="00A87AD8">
        <w:rPr>
          <w:rFonts w:ascii="Arial" w:eastAsia="Arial" w:hAnsi="Arial" w:cs="Arial"/>
          <w:bCs/>
          <w:sz w:val="24"/>
          <w:szCs w:val="24"/>
        </w:rPr>
        <w:t>Supporting Decision Making Regarding Clinically Assisted Nutrition and Hydration</w:t>
      </w:r>
      <w:r w:rsidR="00DC4728" w:rsidRPr="00A87AD8">
        <w:rPr>
          <w:rFonts w:ascii="Arial" w:eastAsia="Arial" w:hAnsi="Arial" w:cs="Arial"/>
          <w:b/>
          <w:sz w:val="24"/>
          <w:szCs w:val="24"/>
        </w:rPr>
        <w:t xml:space="preserve"> </w:t>
      </w:r>
      <w:r w:rsidR="00DC4728" w:rsidRPr="00A87AD8">
        <w:rPr>
          <w:rFonts w:ascii="Arial" w:eastAsia="Arial" w:hAnsi="Arial" w:cs="Arial"/>
          <w:bCs/>
          <w:sz w:val="24"/>
          <w:szCs w:val="24"/>
        </w:rPr>
        <w:t>(CANH).</w:t>
      </w:r>
    </w:p>
    <w:p w14:paraId="2CD62BB8" w14:textId="3F596C98" w:rsidR="007409B7" w:rsidRPr="00A87AD8" w:rsidRDefault="007409B7" w:rsidP="00A87AD8">
      <w:pPr>
        <w:rPr>
          <w:rFonts w:ascii="Arial" w:eastAsia="Times New Roman" w:hAnsi="Arial" w:cs="Arial"/>
          <w:bCs/>
          <w:sz w:val="24"/>
          <w:szCs w:val="24"/>
        </w:rPr>
      </w:pPr>
      <w:r w:rsidRPr="00A87AD8">
        <w:rPr>
          <w:rFonts w:ascii="Arial" w:hAnsi="Arial" w:cs="Arial"/>
          <w:sz w:val="24"/>
          <w:szCs w:val="24"/>
        </w:rPr>
        <w:t>.</w:t>
      </w:r>
    </w:p>
    <w:p w14:paraId="5E6EF9A2" w14:textId="268F5227" w:rsidR="007409B7" w:rsidRPr="00A87AD8" w:rsidRDefault="00687910" w:rsidP="00A87AD8">
      <w:pPr>
        <w:ind w:left="709" w:hanging="709"/>
        <w:rPr>
          <w:rFonts w:ascii="Arial" w:eastAsia="Times New Roman" w:hAnsi="Arial" w:cs="Arial"/>
          <w:bCs/>
          <w:sz w:val="24"/>
          <w:szCs w:val="24"/>
        </w:rPr>
      </w:pPr>
      <w:r w:rsidRPr="00A87AD8">
        <w:rPr>
          <w:rFonts w:ascii="Arial" w:eastAsia="Times New Roman" w:hAnsi="Arial" w:cs="Arial"/>
          <w:bCs/>
          <w:sz w:val="24"/>
          <w:szCs w:val="24"/>
        </w:rPr>
        <w:tab/>
      </w:r>
      <w:r w:rsidRPr="00A87AD8">
        <w:rPr>
          <w:rFonts w:ascii="Arial" w:eastAsia="Times New Roman" w:hAnsi="Arial" w:cs="Arial"/>
          <w:b/>
          <w:sz w:val="24"/>
          <w:szCs w:val="24"/>
        </w:rPr>
        <w:t xml:space="preserve">Conducting </w:t>
      </w:r>
      <w:r w:rsidR="00A8596D">
        <w:rPr>
          <w:rFonts w:ascii="Arial" w:eastAsia="Times New Roman" w:hAnsi="Arial" w:cs="Arial"/>
          <w:b/>
          <w:sz w:val="24"/>
          <w:szCs w:val="24"/>
        </w:rPr>
        <w:t>A</w:t>
      </w:r>
      <w:r w:rsidRPr="00A87AD8">
        <w:rPr>
          <w:rFonts w:ascii="Arial" w:eastAsia="Times New Roman" w:hAnsi="Arial" w:cs="Arial"/>
          <w:b/>
          <w:sz w:val="24"/>
          <w:szCs w:val="24"/>
        </w:rPr>
        <w:t xml:space="preserve"> Capacity Assessment</w:t>
      </w:r>
      <w:r w:rsidRPr="00A87AD8">
        <w:rPr>
          <w:rFonts w:ascii="Arial" w:eastAsia="Times New Roman" w:hAnsi="Arial" w:cs="Arial"/>
          <w:bCs/>
          <w:sz w:val="24"/>
          <w:szCs w:val="24"/>
        </w:rPr>
        <w:t xml:space="preserve"> </w:t>
      </w:r>
    </w:p>
    <w:p w14:paraId="4EE7F166" w14:textId="77777777" w:rsidR="00A87AD8" w:rsidRPr="00A87AD8" w:rsidRDefault="00A87AD8" w:rsidP="00A87AD8">
      <w:pPr>
        <w:ind w:left="709" w:hanging="709"/>
        <w:rPr>
          <w:rFonts w:ascii="Arial" w:eastAsia="Times New Roman" w:hAnsi="Arial" w:cs="Arial"/>
          <w:bCs/>
          <w:sz w:val="24"/>
          <w:szCs w:val="24"/>
        </w:rPr>
      </w:pPr>
    </w:p>
    <w:p w14:paraId="328A220E" w14:textId="713D1F4F" w:rsidR="00DC4728" w:rsidRPr="00A87AD8" w:rsidRDefault="00DC4728" w:rsidP="00A87AD8">
      <w:pPr>
        <w:ind w:left="709" w:hanging="709"/>
        <w:rPr>
          <w:rFonts w:ascii="Arial" w:hAnsi="Arial" w:cs="Arial"/>
          <w:sz w:val="24"/>
          <w:szCs w:val="24"/>
        </w:rPr>
      </w:pPr>
      <w:r w:rsidRPr="00A87AD8">
        <w:rPr>
          <w:rFonts w:ascii="Arial" w:eastAsia="Times New Roman" w:hAnsi="Arial" w:cs="Arial"/>
          <w:bCs/>
          <w:sz w:val="24"/>
          <w:szCs w:val="24"/>
        </w:rPr>
        <w:t>5.</w:t>
      </w:r>
      <w:r w:rsidR="00843894">
        <w:rPr>
          <w:rFonts w:ascii="Arial" w:eastAsia="Times New Roman" w:hAnsi="Arial" w:cs="Arial"/>
          <w:bCs/>
          <w:sz w:val="24"/>
          <w:szCs w:val="24"/>
        </w:rPr>
        <w:t>15</w:t>
      </w:r>
      <w:r w:rsidR="00146F74" w:rsidRPr="00A87AD8">
        <w:rPr>
          <w:rFonts w:ascii="Arial" w:eastAsia="Times New Roman" w:hAnsi="Arial" w:cs="Arial"/>
          <w:bCs/>
          <w:sz w:val="24"/>
          <w:szCs w:val="24"/>
        </w:rPr>
        <w:tab/>
      </w:r>
      <w:r w:rsidRPr="00A87AD8">
        <w:rPr>
          <w:rFonts w:ascii="Arial" w:hAnsi="Arial" w:cs="Arial"/>
          <w:sz w:val="24"/>
          <w:szCs w:val="24"/>
        </w:rPr>
        <w:t>It is every individual’s basic human right to be included in decisions about their care.</w:t>
      </w:r>
      <w:r w:rsidR="004B27A0">
        <w:rPr>
          <w:rFonts w:ascii="Arial" w:hAnsi="Arial" w:cs="Arial"/>
          <w:sz w:val="24"/>
          <w:szCs w:val="24"/>
        </w:rPr>
        <w:t xml:space="preserve"> </w:t>
      </w:r>
      <w:r w:rsidRPr="00A87AD8">
        <w:rPr>
          <w:rFonts w:ascii="Arial" w:hAnsi="Arial" w:cs="Arial"/>
          <w:sz w:val="24"/>
          <w:szCs w:val="24"/>
        </w:rPr>
        <w:t xml:space="preserve"> There is a presumption that adults have capacity to make decisions about their care and treatment, unless there is </w:t>
      </w:r>
      <w:r w:rsidR="00F26CA2" w:rsidRPr="00A87AD8">
        <w:rPr>
          <w:rFonts w:ascii="Arial" w:hAnsi="Arial" w:cs="Arial"/>
          <w:sz w:val="24"/>
          <w:szCs w:val="24"/>
        </w:rPr>
        <w:t>valid</w:t>
      </w:r>
      <w:r w:rsidRPr="00A87AD8">
        <w:rPr>
          <w:rFonts w:ascii="Arial" w:hAnsi="Arial" w:cs="Arial"/>
          <w:sz w:val="24"/>
          <w:szCs w:val="24"/>
        </w:rPr>
        <w:t xml:space="preserve"> reason to suggest the contrary.</w:t>
      </w:r>
      <w:r w:rsidR="00146F74" w:rsidRPr="00A87AD8">
        <w:rPr>
          <w:rFonts w:ascii="Arial" w:hAnsi="Arial" w:cs="Arial"/>
          <w:sz w:val="24"/>
          <w:szCs w:val="24"/>
        </w:rPr>
        <w:t xml:space="preserve"> </w:t>
      </w:r>
      <w:r w:rsidR="004B27A0">
        <w:rPr>
          <w:rFonts w:ascii="Arial" w:hAnsi="Arial" w:cs="Arial"/>
          <w:sz w:val="24"/>
          <w:szCs w:val="24"/>
        </w:rPr>
        <w:t xml:space="preserve"> </w:t>
      </w:r>
      <w:r w:rsidR="00146F74" w:rsidRPr="00A87AD8">
        <w:rPr>
          <w:rFonts w:ascii="Arial" w:hAnsi="Arial" w:cs="Arial"/>
          <w:sz w:val="24"/>
          <w:szCs w:val="24"/>
        </w:rPr>
        <w:t xml:space="preserve">Healthcare professionals should apply the principles of the Mental Capacity Act </w:t>
      </w:r>
      <w:r w:rsidR="002353BF">
        <w:rPr>
          <w:rFonts w:ascii="Arial" w:hAnsi="Arial" w:cs="Arial"/>
          <w:sz w:val="24"/>
          <w:szCs w:val="24"/>
        </w:rPr>
        <w:t xml:space="preserve">(2005) </w:t>
      </w:r>
      <w:r w:rsidR="00146F74" w:rsidRPr="00A87AD8">
        <w:rPr>
          <w:rFonts w:ascii="Arial" w:hAnsi="Arial" w:cs="Arial"/>
          <w:sz w:val="24"/>
          <w:szCs w:val="24"/>
        </w:rPr>
        <w:t xml:space="preserve">throughout the </w:t>
      </w:r>
      <w:proofErr w:type="gramStart"/>
      <w:r w:rsidR="00146F74" w:rsidRPr="00A87AD8">
        <w:rPr>
          <w:rFonts w:ascii="Arial" w:hAnsi="Arial" w:cs="Arial"/>
          <w:sz w:val="24"/>
          <w:szCs w:val="24"/>
        </w:rPr>
        <w:t>decision making</w:t>
      </w:r>
      <w:proofErr w:type="gramEnd"/>
      <w:r w:rsidR="00146F74" w:rsidRPr="00A87AD8">
        <w:rPr>
          <w:rFonts w:ascii="Arial" w:hAnsi="Arial" w:cs="Arial"/>
          <w:sz w:val="24"/>
          <w:szCs w:val="24"/>
        </w:rPr>
        <w:t xml:space="preserve"> process.</w:t>
      </w:r>
    </w:p>
    <w:p w14:paraId="24F20E08" w14:textId="77777777" w:rsidR="00A87AD8" w:rsidRPr="00A87AD8" w:rsidRDefault="00A87AD8" w:rsidP="00A87AD8">
      <w:pPr>
        <w:ind w:left="709" w:hanging="709"/>
        <w:rPr>
          <w:rFonts w:ascii="Arial" w:hAnsi="Arial" w:cs="Arial"/>
          <w:sz w:val="24"/>
          <w:szCs w:val="24"/>
        </w:rPr>
      </w:pPr>
    </w:p>
    <w:p w14:paraId="17947D31" w14:textId="4AB5C936" w:rsidR="00146F74" w:rsidRPr="00A87AD8" w:rsidRDefault="00146F74" w:rsidP="00A87AD8">
      <w:pPr>
        <w:ind w:left="709" w:hanging="709"/>
        <w:rPr>
          <w:rFonts w:ascii="Arial" w:eastAsia="Times New Roman" w:hAnsi="Arial" w:cs="Arial"/>
          <w:bCs/>
          <w:sz w:val="24"/>
          <w:szCs w:val="24"/>
        </w:rPr>
      </w:pPr>
      <w:r w:rsidRPr="00A87AD8">
        <w:rPr>
          <w:rFonts w:ascii="Arial" w:hAnsi="Arial" w:cs="Arial"/>
          <w:sz w:val="24"/>
          <w:szCs w:val="24"/>
        </w:rPr>
        <w:t>5.</w:t>
      </w:r>
      <w:r w:rsidR="00843894">
        <w:rPr>
          <w:rFonts w:ascii="Arial" w:hAnsi="Arial" w:cs="Arial"/>
          <w:sz w:val="24"/>
          <w:szCs w:val="24"/>
        </w:rPr>
        <w:t>16</w:t>
      </w:r>
      <w:r w:rsidRPr="00A87AD8">
        <w:rPr>
          <w:rFonts w:ascii="Arial" w:hAnsi="Arial" w:cs="Arial"/>
          <w:sz w:val="24"/>
          <w:szCs w:val="24"/>
        </w:rPr>
        <w:tab/>
        <w:t xml:space="preserve">All discussions and decisions relating to Mental Capacity should be fully documented in the person’s medical records. </w:t>
      </w:r>
    </w:p>
    <w:p w14:paraId="32172C39" w14:textId="77777777" w:rsidR="00687910" w:rsidRPr="00A87AD8" w:rsidRDefault="00687910" w:rsidP="00A87AD8">
      <w:pPr>
        <w:autoSpaceDE w:val="0"/>
        <w:autoSpaceDN w:val="0"/>
        <w:adjustRightInd w:val="0"/>
        <w:rPr>
          <w:rFonts w:ascii="Arial" w:hAnsi="Arial" w:cs="Arial"/>
          <w:color w:val="000000"/>
          <w:sz w:val="24"/>
          <w:szCs w:val="24"/>
        </w:rPr>
      </w:pPr>
    </w:p>
    <w:p w14:paraId="0A2F4971" w14:textId="77777777" w:rsidR="00080EF1" w:rsidRPr="00A87AD8" w:rsidRDefault="00080EF1" w:rsidP="00A87AD8">
      <w:pPr>
        <w:rPr>
          <w:rFonts w:ascii="Arial" w:eastAsia="Arial" w:hAnsi="Arial" w:cs="Arial"/>
          <w:sz w:val="24"/>
          <w:szCs w:val="24"/>
        </w:rPr>
      </w:pPr>
    </w:p>
    <w:p w14:paraId="53213024" w14:textId="7C9462EE" w:rsidR="00473E38" w:rsidRPr="00A87AD8" w:rsidRDefault="00473E38" w:rsidP="00A87AD8">
      <w:pPr>
        <w:ind w:left="709" w:hanging="709"/>
        <w:rPr>
          <w:rFonts w:ascii="Arial" w:eastAsia="Times New Roman" w:hAnsi="Arial" w:cs="Arial"/>
          <w:bCs/>
          <w:i/>
          <w:sz w:val="24"/>
          <w:szCs w:val="24"/>
        </w:rPr>
      </w:pPr>
      <w:bookmarkStart w:id="2" w:name="_Toc518316087"/>
      <w:r w:rsidRPr="00A87AD8">
        <w:rPr>
          <w:rFonts w:ascii="Arial" w:eastAsia="Times New Roman" w:hAnsi="Arial" w:cs="Arial"/>
          <w:b/>
          <w:bCs/>
          <w:color w:val="005EB8"/>
          <w:sz w:val="24"/>
          <w:szCs w:val="24"/>
        </w:rPr>
        <w:t xml:space="preserve">6.0    </w:t>
      </w:r>
      <w:r w:rsidRPr="00A87AD8">
        <w:rPr>
          <w:rFonts w:ascii="Arial" w:eastAsia="Times New Roman" w:hAnsi="Arial" w:cs="Arial"/>
          <w:b/>
          <w:bCs/>
          <w:color w:val="005EB8"/>
          <w:sz w:val="24"/>
          <w:szCs w:val="24"/>
        </w:rPr>
        <w:tab/>
        <w:t>TRAINING</w:t>
      </w:r>
      <w:r w:rsidR="00A8596D">
        <w:rPr>
          <w:rFonts w:ascii="Arial" w:eastAsia="Times New Roman" w:hAnsi="Arial" w:cs="Arial"/>
          <w:b/>
          <w:bCs/>
          <w:color w:val="005EB8"/>
          <w:sz w:val="24"/>
          <w:szCs w:val="24"/>
        </w:rPr>
        <w:t xml:space="preserve"> </w:t>
      </w:r>
      <w:r w:rsidRPr="00A87AD8">
        <w:rPr>
          <w:rFonts w:ascii="Arial" w:eastAsia="Times New Roman" w:hAnsi="Arial" w:cs="Arial"/>
          <w:b/>
          <w:bCs/>
          <w:color w:val="005EB8"/>
          <w:sz w:val="24"/>
          <w:szCs w:val="24"/>
        </w:rPr>
        <w:t>/</w:t>
      </w:r>
      <w:r w:rsidR="00A8596D">
        <w:rPr>
          <w:rFonts w:ascii="Arial" w:eastAsia="Times New Roman" w:hAnsi="Arial" w:cs="Arial"/>
          <w:b/>
          <w:bCs/>
          <w:color w:val="005EB8"/>
          <w:sz w:val="24"/>
          <w:szCs w:val="24"/>
        </w:rPr>
        <w:t xml:space="preserve"> </w:t>
      </w:r>
      <w:r w:rsidRPr="00A87AD8">
        <w:rPr>
          <w:rFonts w:ascii="Arial" w:eastAsia="Times New Roman" w:hAnsi="Arial" w:cs="Arial"/>
          <w:b/>
          <w:bCs/>
          <w:color w:val="005EB8"/>
          <w:sz w:val="24"/>
          <w:szCs w:val="24"/>
        </w:rPr>
        <w:t>COMPETENCE REQUIREMENTS</w:t>
      </w:r>
      <w:bookmarkEnd w:id="2"/>
    </w:p>
    <w:p w14:paraId="3B40C8D8" w14:textId="77777777" w:rsidR="00473E38" w:rsidRPr="00A87AD8" w:rsidRDefault="00473E38" w:rsidP="00A87AD8">
      <w:pPr>
        <w:ind w:left="709" w:hanging="709"/>
        <w:rPr>
          <w:rFonts w:ascii="Arial" w:eastAsia="Arial" w:hAnsi="Arial" w:cs="Arial"/>
          <w:sz w:val="24"/>
          <w:szCs w:val="24"/>
        </w:rPr>
      </w:pPr>
    </w:p>
    <w:p w14:paraId="3F65D24C" w14:textId="3104B2D5" w:rsidR="00473E38" w:rsidRDefault="00473E38" w:rsidP="00A87AD8">
      <w:pPr>
        <w:ind w:left="709" w:hanging="709"/>
        <w:rPr>
          <w:rFonts w:ascii="Arial" w:eastAsia="Arial" w:hAnsi="Arial" w:cs="Arial"/>
          <w:sz w:val="24"/>
          <w:szCs w:val="24"/>
        </w:rPr>
      </w:pPr>
      <w:r w:rsidRPr="00A87AD8">
        <w:rPr>
          <w:rFonts w:ascii="Arial" w:eastAsia="Arial" w:hAnsi="Arial" w:cs="Arial"/>
          <w:sz w:val="24"/>
          <w:szCs w:val="24"/>
        </w:rPr>
        <w:t>6.1</w:t>
      </w:r>
      <w:r w:rsidRPr="00A87AD8">
        <w:rPr>
          <w:rFonts w:ascii="Arial" w:eastAsia="Arial" w:hAnsi="Arial" w:cs="Arial"/>
          <w:sz w:val="24"/>
          <w:szCs w:val="24"/>
        </w:rPr>
        <w:tab/>
      </w:r>
      <w:r w:rsidR="00687910" w:rsidRPr="00A87AD8">
        <w:rPr>
          <w:rFonts w:ascii="Arial" w:eastAsia="Arial" w:hAnsi="Arial" w:cs="Arial"/>
          <w:sz w:val="24"/>
          <w:szCs w:val="24"/>
        </w:rPr>
        <w:t>Mental Capacity Training on OWL</w:t>
      </w:r>
      <w:r w:rsidR="00A8596D">
        <w:rPr>
          <w:rFonts w:ascii="Arial" w:eastAsia="Arial" w:hAnsi="Arial" w:cs="Arial"/>
          <w:sz w:val="24"/>
          <w:szCs w:val="24"/>
        </w:rPr>
        <w:t>.</w:t>
      </w:r>
    </w:p>
    <w:p w14:paraId="1C4D6182" w14:textId="77777777" w:rsidR="00A8596D" w:rsidRPr="00A87AD8" w:rsidRDefault="00A8596D" w:rsidP="00A87AD8">
      <w:pPr>
        <w:ind w:left="709" w:hanging="709"/>
        <w:rPr>
          <w:rFonts w:ascii="Arial" w:eastAsia="Arial" w:hAnsi="Arial" w:cs="Arial"/>
          <w:sz w:val="24"/>
          <w:szCs w:val="24"/>
        </w:rPr>
      </w:pPr>
    </w:p>
    <w:p w14:paraId="4041808E" w14:textId="00B4485B" w:rsidR="00473E38" w:rsidRDefault="00473E38" w:rsidP="00A87AD8">
      <w:pPr>
        <w:ind w:left="709" w:hanging="709"/>
        <w:rPr>
          <w:rFonts w:ascii="Arial" w:eastAsia="Arial" w:hAnsi="Arial" w:cs="Arial"/>
          <w:sz w:val="24"/>
          <w:szCs w:val="24"/>
        </w:rPr>
      </w:pPr>
      <w:r w:rsidRPr="00A87AD8">
        <w:rPr>
          <w:rFonts w:ascii="Arial" w:eastAsia="Arial" w:hAnsi="Arial" w:cs="Arial"/>
          <w:sz w:val="24"/>
          <w:szCs w:val="24"/>
        </w:rPr>
        <w:t>6.2</w:t>
      </w:r>
      <w:r w:rsidRPr="00A87AD8">
        <w:rPr>
          <w:rFonts w:ascii="Arial" w:eastAsia="Arial" w:hAnsi="Arial" w:cs="Arial"/>
          <w:sz w:val="24"/>
          <w:szCs w:val="24"/>
        </w:rPr>
        <w:tab/>
      </w:r>
      <w:r w:rsidR="00687910" w:rsidRPr="00A87AD8">
        <w:rPr>
          <w:rFonts w:ascii="Arial" w:eastAsia="Arial" w:hAnsi="Arial" w:cs="Arial"/>
          <w:sz w:val="24"/>
          <w:szCs w:val="24"/>
        </w:rPr>
        <w:t>IDDSI Bite</w:t>
      </w:r>
      <w:r w:rsidR="00A8596D">
        <w:rPr>
          <w:rFonts w:ascii="Arial" w:eastAsia="Arial" w:hAnsi="Arial" w:cs="Arial"/>
          <w:sz w:val="24"/>
          <w:szCs w:val="24"/>
        </w:rPr>
        <w:t>-</w:t>
      </w:r>
      <w:r w:rsidR="00687910" w:rsidRPr="00A87AD8">
        <w:rPr>
          <w:rFonts w:ascii="Arial" w:eastAsia="Arial" w:hAnsi="Arial" w:cs="Arial"/>
          <w:sz w:val="24"/>
          <w:szCs w:val="24"/>
        </w:rPr>
        <w:t>Sized</w:t>
      </w:r>
      <w:r w:rsidR="00A8596D">
        <w:rPr>
          <w:rFonts w:ascii="Arial" w:eastAsia="Arial" w:hAnsi="Arial" w:cs="Arial"/>
          <w:sz w:val="24"/>
          <w:szCs w:val="24"/>
        </w:rPr>
        <w:t>.</w:t>
      </w:r>
    </w:p>
    <w:p w14:paraId="522ED296" w14:textId="77777777" w:rsidR="00A8596D" w:rsidRPr="00A87AD8" w:rsidRDefault="00A8596D" w:rsidP="00A87AD8">
      <w:pPr>
        <w:ind w:left="709" w:hanging="709"/>
        <w:rPr>
          <w:rFonts w:ascii="Arial" w:eastAsia="Arial" w:hAnsi="Arial" w:cs="Arial"/>
          <w:sz w:val="24"/>
          <w:szCs w:val="24"/>
        </w:rPr>
      </w:pPr>
    </w:p>
    <w:p w14:paraId="2BEDA459" w14:textId="1F4868E2" w:rsidR="00473E38" w:rsidRPr="00A87AD8" w:rsidRDefault="00473E38" w:rsidP="00A87AD8">
      <w:pPr>
        <w:ind w:left="709" w:hanging="709"/>
        <w:rPr>
          <w:rFonts w:ascii="Arial" w:eastAsia="Arial" w:hAnsi="Arial" w:cs="Arial"/>
          <w:sz w:val="24"/>
          <w:szCs w:val="24"/>
        </w:rPr>
      </w:pPr>
      <w:r w:rsidRPr="00A87AD8">
        <w:rPr>
          <w:rFonts w:ascii="Arial" w:eastAsia="Arial" w:hAnsi="Arial" w:cs="Arial"/>
          <w:sz w:val="24"/>
          <w:szCs w:val="24"/>
        </w:rPr>
        <w:t>6.3</w:t>
      </w:r>
      <w:r w:rsidRPr="00A87AD8">
        <w:rPr>
          <w:rFonts w:ascii="Arial" w:eastAsia="Arial" w:hAnsi="Arial" w:cs="Arial"/>
          <w:sz w:val="24"/>
          <w:szCs w:val="24"/>
        </w:rPr>
        <w:tab/>
      </w:r>
      <w:r w:rsidR="00687910" w:rsidRPr="00A87AD8">
        <w:rPr>
          <w:rFonts w:ascii="Arial" w:eastAsia="Arial" w:hAnsi="Arial" w:cs="Arial"/>
          <w:sz w:val="24"/>
          <w:szCs w:val="24"/>
        </w:rPr>
        <w:t xml:space="preserve">Having </w:t>
      </w:r>
      <w:r w:rsidR="00A8596D">
        <w:rPr>
          <w:rFonts w:ascii="Arial" w:eastAsia="Arial" w:hAnsi="Arial" w:cs="Arial"/>
          <w:sz w:val="24"/>
          <w:szCs w:val="24"/>
        </w:rPr>
        <w:t>d</w:t>
      </w:r>
      <w:r w:rsidR="00687910" w:rsidRPr="00A87AD8">
        <w:rPr>
          <w:rFonts w:ascii="Arial" w:eastAsia="Arial" w:hAnsi="Arial" w:cs="Arial"/>
          <w:sz w:val="24"/>
          <w:szCs w:val="24"/>
        </w:rPr>
        <w:t>ifficult conversations</w:t>
      </w:r>
      <w:r w:rsidR="00A8596D">
        <w:rPr>
          <w:rFonts w:ascii="Arial" w:eastAsia="Arial" w:hAnsi="Arial" w:cs="Arial"/>
          <w:sz w:val="24"/>
          <w:szCs w:val="24"/>
        </w:rPr>
        <w:t>.</w:t>
      </w:r>
    </w:p>
    <w:p w14:paraId="0E65179D" w14:textId="77777777" w:rsidR="00687910" w:rsidRPr="00A87AD8" w:rsidRDefault="00687910" w:rsidP="00A87AD8">
      <w:pPr>
        <w:ind w:left="709" w:hanging="709"/>
        <w:rPr>
          <w:rFonts w:ascii="Arial" w:eastAsia="Arial" w:hAnsi="Arial" w:cs="Arial"/>
          <w:sz w:val="24"/>
          <w:szCs w:val="24"/>
        </w:rPr>
      </w:pPr>
    </w:p>
    <w:p w14:paraId="56C6BF3A" w14:textId="77777777" w:rsidR="00962D63" w:rsidRPr="00A87AD8" w:rsidRDefault="00962D63" w:rsidP="00A87AD8">
      <w:pPr>
        <w:ind w:left="709" w:hanging="709"/>
        <w:rPr>
          <w:rFonts w:ascii="Arial" w:eastAsia="Arial" w:hAnsi="Arial" w:cs="Arial"/>
          <w:sz w:val="24"/>
          <w:szCs w:val="24"/>
        </w:rPr>
      </w:pPr>
    </w:p>
    <w:p w14:paraId="21A2E632" w14:textId="77777777" w:rsidR="00962D63" w:rsidRDefault="00962D63" w:rsidP="002E5644">
      <w:pPr>
        <w:ind w:left="709" w:hanging="709"/>
        <w:rPr>
          <w:rFonts w:ascii="Arial" w:eastAsia="Arial" w:hAnsi="Arial" w:cs="Arial"/>
        </w:rPr>
      </w:pPr>
    </w:p>
    <w:p w14:paraId="0165C2A4" w14:textId="77777777" w:rsidR="00962D63" w:rsidRDefault="00962D63" w:rsidP="002E5644">
      <w:pPr>
        <w:ind w:left="709" w:hanging="709"/>
        <w:rPr>
          <w:rFonts w:ascii="Arial" w:eastAsia="Arial" w:hAnsi="Arial" w:cs="Arial"/>
        </w:rPr>
      </w:pPr>
    </w:p>
    <w:p w14:paraId="37E8C314" w14:textId="77777777" w:rsidR="00962D63" w:rsidRDefault="00962D63" w:rsidP="002E5644">
      <w:pPr>
        <w:ind w:left="709" w:hanging="709"/>
        <w:rPr>
          <w:rFonts w:ascii="Arial" w:eastAsia="Arial" w:hAnsi="Arial" w:cs="Arial"/>
        </w:rPr>
      </w:pPr>
    </w:p>
    <w:p w14:paraId="7790A444" w14:textId="77777777" w:rsidR="00962D63" w:rsidRDefault="00962D63" w:rsidP="002E5644">
      <w:pPr>
        <w:ind w:left="709" w:hanging="709"/>
        <w:rPr>
          <w:rFonts w:ascii="Arial" w:eastAsia="Arial" w:hAnsi="Arial" w:cs="Arial"/>
        </w:rPr>
      </w:pPr>
    </w:p>
    <w:p w14:paraId="02FAAD62" w14:textId="77777777" w:rsidR="00962D63" w:rsidRPr="0038409A" w:rsidRDefault="00962D63" w:rsidP="002E5644">
      <w:pPr>
        <w:ind w:left="709" w:hanging="709"/>
        <w:rPr>
          <w:rFonts w:ascii="Arial" w:eastAsia="Arial" w:hAnsi="Arial" w:cs="Arial"/>
        </w:rPr>
      </w:pPr>
      <w:r w:rsidRPr="008D0BA9">
        <w:rPr>
          <w:rFonts w:ascii="Arial" w:eastAsia="Times New Roman" w:hAnsi="Arial"/>
          <w:b/>
          <w:bCs/>
          <w:color w:val="005EB8"/>
          <w:sz w:val="24"/>
          <w:szCs w:val="24"/>
        </w:rPr>
        <w:lastRenderedPageBreak/>
        <w:t xml:space="preserve">7.0    </w:t>
      </w:r>
      <w:r>
        <w:rPr>
          <w:rFonts w:ascii="Arial" w:eastAsia="Times New Roman" w:hAnsi="Arial"/>
          <w:b/>
          <w:bCs/>
          <w:color w:val="005EB8"/>
          <w:sz w:val="24"/>
          <w:szCs w:val="24"/>
        </w:rPr>
        <w:tab/>
      </w:r>
      <w:r w:rsidRPr="008D0BA9">
        <w:rPr>
          <w:rFonts w:ascii="Arial" w:eastAsia="Times New Roman" w:hAnsi="Arial"/>
          <w:b/>
          <w:bCs/>
          <w:color w:val="005EB8"/>
          <w:sz w:val="24"/>
          <w:szCs w:val="24"/>
        </w:rPr>
        <w:t xml:space="preserve">MONITORING </w:t>
      </w:r>
      <w:r w:rsidRPr="0019765D">
        <w:rPr>
          <w:rFonts w:ascii="Arial" w:hAnsi="Arial" w:cs="Arial"/>
          <w:i/>
          <w:sz w:val="20"/>
          <w:szCs w:val="20"/>
        </w:rPr>
        <w:t>Outline the process to monitor compliance to the document.  This should relate back to the process description and make clear how the effectiveness of the document will be monitored a</w:t>
      </w:r>
      <w:r w:rsidR="00A86E87">
        <w:rPr>
          <w:rFonts w:ascii="Arial" w:hAnsi="Arial" w:cs="Arial"/>
          <w:i/>
          <w:sz w:val="20"/>
          <w:szCs w:val="20"/>
        </w:rPr>
        <w:t>nd measured (e.g. through audit.</w:t>
      </w:r>
    </w:p>
    <w:p w14:paraId="65DA32A2" w14:textId="77777777" w:rsidR="004B40B9" w:rsidRDefault="004B40B9" w:rsidP="002E5644">
      <w:bookmarkStart w:id="3" w:name="_Toc51831608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459"/>
        <w:gridCol w:w="2477"/>
        <w:gridCol w:w="809"/>
        <w:gridCol w:w="1400"/>
        <w:gridCol w:w="2610"/>
      </w:tblGrid>
      <w:tr w:rsidR="00962D63" w:rsidRPr="0071556E" w14:paraId="6C491671" w14:textId="77777777" w:rsidTr="00962D63">
        <w:trPr>
          <w:cantSplit/>
          <w:trHeight w:val="1134"/>
          <w:jc w:val="center"/>
        </w:trPr>
        <w:tc>
          <w:tcPr>
            <w:tcW w:w="522" w:type="pct"/>
            <w:tcBorders>
              <w:bottom w:val="single" w:sz="4" w:space="0" w:color="auto"/>
            </w:tcBorders>
            <w:shd w:val="clear" w:color="auto" w:fill="005EB8"/>
          </w:tcPr>
          <w:p w14:paraId="7ED56D3B"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Element of policy for monitoring</w:t>
            </w:r>
          </w:p>
        </w:tc>
        <w:tc>
          <w:tcPr>
            <w:tcW w:w="186" w:type="pct"/>
            <w:tcBorders>
              <w:bottom w:val="single" w:sz="4" w:space="0" w:color="auto"/>
            </w:tcBorders>
            <w:shd w:val="clear" w:color="auto" w:fill="005EB8"/>
            <w:textDirection w:val="btLr"/>
          </w:tcPr>
          <w:p w14:paraId="5CCC755B" w14:textId="77777777" w:rsidR="00962D63" w:rsidRPr="0071556E" w:rsidRDefault="00962D63" w:rsidP="002E5644">
            <w:pPr>
              <w:ind w:left="113" w:right="113"/>
              <w:rPr>
                <w:rFonts w:ascii="Arial" w:hAnsi="Arial" w:cs="Arial"/>
                <w:b/>
                <w:color w:val="FFFFFF" w:themeColor="background1"/>
                <w:sz w:val="20"/>
                <w:szCs w:val="20"/>
              </w:rPr>
            </w:pPr>
            <w:r w:rsidRPr="0071556E">
              <w:rPr>
                <w:rFonts w:ascii="Arial" w:hAnsi="Arial" w:cs="Arial"/>
                <w:b/>
                <w:color w:val="FFFFFF" w:themeColor="background1"/>
                <w:sz w:val="20"/>
                <w:szCs w:val="20"/>
              </w:rPr>
              <w:t>Section</w:t>
            </w:r>
          </w:p>
        </w:tc>
        <w:tc>
          <w:tcPr>
            <w:tcW w:w="1435" w:type="pct"/>
            <w:tcBorders>
              <w:bottom w:val="single" w:sz="4" w:space="0" w:color="auto"/>
            </w:tcBorders>
            <w:shd w:val="clear" w:color="auto" w:fill="005EB8"/>
          </w:tcPr>
          <w:p w14:paraId="2ABF06E4"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 xml:space="preserve">Monitoring method - </w:t>
            </w:r>
          </w:p>
          <w:p w14:paraId="7D7822B4"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Information source (e.g. audit)/ Measure / performance standard</w:t>
            </w:r>
          </w:p>
        </w:tc>
        <w:tc>
          <w:tcPr>
            <w:tcW w:w="510" w:type="pct"/>
            <w:tcBorders>
              <w:bottom w:val="single" w:sz="4" w:space="0" w:color="auto"/>
            </w:tcBorders>
            <w:shd w:val="clear" w:color="auto" w:fill="005EB8"/>
          </w:tcPr>
          <w:p w14:paraId="04D85758"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Item Lead</w:t>
            </w:r>
          </w:p>
        </w:tc>
        <w:tc>
          <w:tcPr>
            <w:tcW w:w="838" w:type="pct"/>
            <w:tcBorders>
              <w:bottom w:val="single" w:sz="4" w:space="0" w:color="auto"/>
            </w:tcBorders>
            <w:shd w:val="clear" w:color="auto" w:fill="005EB8"/>
          </w:tcPr>
          <w:p w14:paraId="7A9B797F"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Monitoring frequency /</w:t>
            </w:r>
          </w:p>
          <w:p w14:paraId="3990F59F"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reporting frequency and route</w:t>
            </w:r>
          </w:p>
        </w:tc>
        <w:tc>
          <w:tcPr>
            <w:tcW w:w="1510" w:type="pct"/>
            <w:tcBorders>
              <w:bottom w:val="single" w:sz="4" w:space="0" w:color="auto"/>
            </w:tcBorders>
            <w:shd w:val="clear" w:color="auto" w:fill="005EB8"/>
          </w:tcPr>
          <w:p w14:paraId="092BB19A" w14:textId="77777777" w:rsidR="00962D63" w:rsidRPr="0071556E" w:rsidRDefault="00962D63" w:rsidP="002E5644">
            <w:pPr>
              <w:rPr>
                <w:rFonts w:ascii="Arial" w:hAnsi="Arial" w:cs="Arial"/>
                <w:b/>
                <w:color w:val="FFFFFF" w:themeColor="background1"/>
                <w:sz w:val="20"/>
                <w:szCs w:val="20"/>
              </w:rPr>
            </w:pPr>
            <w:r w:rsidRPr="0071556E">
              <w:rPr>
                <w:rFonts w:ascii="Arial" w:hAnsi="Arial" w:cs="Arial"/>
                <w:b/>
                <w:color w:val="FFFFFF" w:themeColor="background1"/>
                <w:sz w:val="20"/>
                <w:szCs w:val="20"/>
              </w:rPr>
              <w:t>Arrangements for responding to shortcomings and tracking delivery of planned actions</w:t>
            </w:r>
          </w:p>
        </w:tc>
      </w:tr>
      <w:tr w:rsidR="00962D63" w:rsidRPr="00250E80" w14:paraId="7E4F6DD5" w14:textId="77777777" w:rsidTr="00A86E87">
        <w:trPr>
          <w:jc w:val="center"/>
        </w:trPr>
        <w:tc>
          <w:tcPr>
            <w:tcW w:w="522" w:type="pct"/>
            <w:shd w:val="clear" w:color="auto" w:fill="auto"/>
          </w:tcPr>
          <w:p w14:paraId="4AEEE16A" w14:textId="77777777" w:rsidR="00962D63" w:rsidRPr="00250E80" w:rsidRDefault="00962D63" w:rsidP="002E5644">
            <w:pPr>
              <w:rPr>
                <w:rFonts w:cs="Arial"/>
                <w:i/>
                <w:sz w:val="20"/>
                <w:szCs w:val="20"/>
              </w:rPr>
            </w:pPr>
          </w:p>
        </w:tc>
        <w:tc>
          <w:tcPr>
            <w:tcW w:w="186" w:type="pct"/>
            <w:shd w:val="clear" w:color="auto" w:fill="auto"/>
            <w:vAlign w:val="center"/>
          </w:tcPr>
          <w:p w14:paraId="494A7CCB" w14:textId="77777777" w:rsidR="00962D63" w:rsidRPr="00B86183" w:rsidRDefault="00962D63" w:rsidP="002E5644">
            <w:pPr>
              <w:jc w:val="center"/>
              <w:rPr>
                <w:rFonts w:cs="Arial"/>
                <w:b/>
                <w:color w:val="000000"/>
                <w:sz w:val="20"/>
                <w:szCs w:val="20"/>
              </w:rPr>
            </w:pPr>
          </w:p>
        </w:tc>
        <w:tc>
          <w:tcPr>
            <w:tcW w:w="1435" w:type="pct"/>
            <w:shd w:val="clear" w:color="auto" w:fill="auto"/>
          </w:tcPr>
          <w:p w14:paraId="49A2570E" w14:textId="77777777" w:rsidR="00962D63" w:rsidRPr="00AD3780" w:rsidRDefault="00962D63" w:rsidP="002E5644">
            <w:pPr>
              <w:rPr>
                <w:rFonts w:cs="Arial"/>
                <w:sz w:val="20"/>
                <w:szCs w:val="20"/>
              </w:rPr>
            </w:pPr>
          </w:p>
        </w:tc>
        <w:tc>
          <w:tcPr>
            <w:tcW w:w="510" w:type="pct"/>
            <w:shd w:val="clear" w:color="auto" w:fill="auto"/>
            <w:vAlign w:val="center"/>
          </w:tcPr>
          <w:p w14:paraId="73F28FB8" w14:textId="77777777" w:rsidR="00962D63" w:rsidRPr="00AD3780" w:rsidRDefault="00962D63" w:rsidP="002E5644">
            <w:pPr>
              <w:jc w:val="center"/>
              <w:rPr>
                <w:rFonts w:cs="Arial"/>
                <w:sz w:val="20"/>
                <w:szCs w:val="20"/>
              </w:rPr>
            </w:pPr>
          </w:p>
        </w:tc>
        <w:tc>
          <w:tcPr>
            <w:tcW w:w="838" w:type="pct"/>
            <w:shd w:val="clear" w:color="auto" w:fill="auto"/>
          </w:tcPr>
          <w:p w14:paraId="3B808BAB" w14:textId="77777777" w:rsidR="00962D63" w:rsidRPr="00AD3780" w:rsidRDefault="00962D63" w:rsidP="002E5644">
            <w:pPr>
              <w:rPr>
                <w:sz w:val="20"/>
                <w:szCs w:val="20"/>
              </w:rPr>
            </w:pPr>
          </w:p>
        </w:tc>
        <w:tc>
          <w:tcPr>
            <w:tcW w:w="1510" w:type="pct"/>
            <w:shd w:val="clear" w:color="auto" w:fill="auto"/>
          </w:tcPr>
          <w:p w14:paraId="4D7AE27B" w14:textId="77777777" w:rsidR="00962D63" w:rsidRPr="00250E80" w:rsidRDefault="00962D63" w:rsidP="002E5644">
            <w:pPr>
              <w:rPr>
                <w:rFonts w:cs="Arial"/>
                <w:sz w:val="20"/>
                <w:szCs w:val="20"/>
              </w:rPr>
            </w:pPr>
          </w:p>
        </w:tc>
      </w:tr>
      <w:tr w:rsidR="00962D63" w:rsidRPr="00250E80" w14:paraId="7D7FDEB1" w14:textId="77777777" w:rsidTr="00A86E87">
        <w:trPr>
          <w:jc w:val="center"/>
        </w:trPr>
        <w:tc>
          <w:tcPr>
            <w:tcW w:w="522" w:type="pct"/>
            <w:shd w:val="clear" w:color="auto" w:fill="auto"/>
          </w:tcPr>
          <w:p w14:paraId="48358CD3" w14:textId="77777777" w:rsidR="00962D63" w:rsidRPr="00250E80" w:rsidRDefault="00962D63" w:rsidP="002E5644">
            <w:pPr>
              <w:rPr>
                <w:rFonts w:cs="Arial"/>
                <w:i/>
                <w:sz w:val="20"/>
                <w:szCs w:val="20"/>
              </w:rPr>
            </w:pPr>
          </w:p>
        </w:tc>
        <w:tc>
          <w:tcPr>
            <w:tcW w:w="186" w:type="pct"/>
            <w:shd w:val="clear" w:color="auto" w:fill="auto"/>
            <w:vAlign w:val="center"/>
          </w:tcPr>
          <w:p w14:paraId="49684BA6" w14:textId="77777777" w:rsidR="00962D63" w:rsidRPr="00B86183" w:rsidRDefault="00962D63" w:rsidP="002E5644">
            <w:pPr>
              <w:jc w:val="center"/>
              <w:rPr>
                <w:rFonts w:cs="Arial"/>
                <w:b/>
                <w:sz w:val="20"/>
                <w:szCs w:val="20"/>
              </w:rPr>
            </w:pPr>
          </w:p>
        </w:tc>
        <w:tc>
          <w:tcPr>
            <w:tcW w:w="1435" w:type="pct"/>
            <w:shd w:val="clear" w:color="auto" w:fill="auto"/>
          </w:tcPr>
          <w:p w14:paraId="412B06B5" w14:textId="77777777" w:rsidR="00962D63" w:rsidRPr="00AD3780" w:rsidRDefault="00962D63" w:rsidP="002E5644">
            <w:pPr>
              <w:rPr>
                <w:sz w:val="20"/>
                <w:szCs w:val="20"/>
              </w:rPr>
            </w:pPr>
          </w:p>
        </w:tc>
        <w:tc>
          <w:tcPr>
            <w:tcW w:w="510" w:type="pct"/>
            <w:shd w:val="clear" w:color="auto" w:fill="auto"/>
            <w:vAlign w:val="center"/>
          </w:tcPr>
          <w:p w14:paraId="2AAD1AB5" w14:textId="77777777" w:rsidR="00962D63" w:rsidRPr="00AD3780" w:rsidRDefault="00962D63" w:rsidP="002E5644">
            <w:pPr>
              <w:jc w:val="center"/>
              <w:rPr>
                <w:rFonts w:cs="Arial"/>
                <w:sz w:val="20"/>
                <w:szCs w:val="20"/>
              </w:rPr>
            </w:pPr>
          </w:p>
        </w:tc>
        <w:tc>
          <w:tcPr>
            <w:tcW w:w="838" w:type="pct"/>
            <w:shd w:val="clear" w:color="auto" w:fill="auto"/>
          </w:tcPr>
          <w:p w14:paraId="4DE65A22" w14:textId="77777777" w:rsidR="00962D63" w:rsidRPr="00AD3780" w:rsidRDefault="00962D63" w:rsidP="002E5644">
            <w:pPr>
              <w:rPr>
                <w:rFonts w:cs="Arial"/>
                <w:sz w:val="20"/>
                <w:szCs w:val="20"/>
              </w:rPr>
            </w:pPr>
          </w:p>
        </w:tc>
        <w:tc>
          <w:tcPr>
            <w:tcW w:w="1510" w:type="pct"/>
            <w:shd w:val="clear" w:color="auto" w:fill="auto"/>
          </w:tcPr>
          <w:p w14:paraId="191CB607" w14:textId="77777777" w:rsidR="00962D63" w:rsidRPr="00250E80" w:rsidRDefault="00962D63" w:rsidP="002E5644">
            <w:pPr>
              <w:ind w:left="203"/>
              <w:rPr>
                <w:rFonts w:cs="Arial"/>
                <w:sz w:val="20"/>
                <w:szCs w:val="20"/>
              </w:rPr>
            </w:pPr>
          </w:p>
        </w:tc>
      </w:tr>
      <w:tr w:rsidR="00962D63" w:rsidRPr="00250E80" w14:paraId="56644608" w14:textId="77777777" w:rsidTr="00A86E87">
        <w:trPr>
          <w:jc w:val="center"/>
        </w:trPr>
        <w:tc>
          <w:tcPr>
            <w:tcW w:w="522" w:type="pct"/>
            <w:shd w:val="clear" w:color="auto" w:fill="auto"/>
          </w:tcPr>
          <w:p w14:paraId="2D8F1653" w14:textId="77777777" w:rsidR="00962D63" w:rsidRPr="00250E80" w:rsidRDefault="00962D63" w:rsidP="002E5644">
            <w:pPr>
              <w:rPr>
                <w:rFonts w:cs="Arial"/>
                <w:i/>
                <w:sz w:val="20"/>
                <w:szCs w:val="20"/>
              </w:rPr>
            </w:pPr>
          </w:p>
        </w:tc>
        <w:tc>
          <w:tcPr>
            <w:tcW w:w="186" w:type="pct"/>
            <w:shd w:val="clear" w:color="auto" w:fill="auto"/>
            <w:vAlign w:val="center"/>
          </w:tcPr>
          <w:p w14:paraId="655848E3" w14:textId="77777777" w:rsidR="00962D63" w:rsidRPr="00B86183" w:rsidRDefault="00962D63" w:rsidP="002E5644">
            <w:pPr>
              <w:jc w:val="center"/>
              <w:rPr>
                <w:rFonts w:cs="Arial"/>
                <w:b/>
                <w:sz w:val="20"/>
                <w:szCs w:val="20"/>
              </w:rPr>
            </w:pPr>
          </w:p>
        </w:tc>
        <w:tc>
          <w:tcPr>
            <w:tcW w:w="1435" w:type="pct"/>
            <w:shd w:val="clear" w:color="auto" w:fill="auto"/>
          </w:tcPr>
          <w:p w14:paraId="06F12B66" w14:textId="77777777" w:rsidR="00962D63" w:rsidRPr="00AD3780" w:rsidRDefault="00962D63" w:rsidP="002E5644">
            <w:pPr>
              <w:rPr>
                <w:rFonts w:cs="Arial"/>
                <w:sz w:val="20"/>
                <w:szCs w:val="20"/>
              </w:rPr>
            </w:pPr>
          </w:p>
        </w:tc>
        <w:tc>
          <w:tcPr>
            <w:tcW w:w="510" w:type="pct"/>
            <w:shd w:val="clear" w:color="auto" w:fill="auto"/>
            <w:vAlign w:val="center"/>
          </w:tcPr>
          <w:p w14:paraId="6D1A8FFD" w14:textId="77777777" w:rsidR="00962D63" w:rsidRPr="00AD3780" w:rsidRDefault="00962D63" w:rsidP="002E5644">
            <w:pPr>
              <w:jc w:val="center"/>
              <w:rPr>
                <w:rFonts w:cs="Arial"/>
                <w:sz w:val="20"/>
                <w:szCs w:val="20"/>
              </w:rPr>
            </w:pPr>
          </w:p>
        </w:tc>
        <w:tc>
          <w:tcPr>
            <w:tcW w:w="838" w:type="pct"/>
            <w:shd w:val="clear" w:color="auto" w:fill="auto"/>
          </w:tcPr>
          <w:p w14:paraId="2F12D5FF" w14:textId="77777777" w:rsidR="00962D63" w:rsidRPr="00AD3780" w:rsidRDefault="00962D63" w:rsidP="002E5644">
            <w:pPr>
              <w:rPr>
                <w:rFonts w:cs="Arial"/>
                <w:sz w:val="20"/>
                <w:szCs w:val="20"/>
              </w:rPr>
            </w:pPr>
          </w:p>
        </w:tc>
        <w:tc>
          <w:tcPr>
            <w:tcW w:w="1510" w:type="pct"/>
            <w:shd w:val="clear" w:color="auto" w:fill="auto"/>
          </w:tcPr>
          <w:p w14:paraId="00A85F7F" w14:textId="77777777" w:rsidR="00962D63" w:rsidRPr="00250E80" w:rsidRDefault="00962D63" w:rsidP="002E5644">
            <w:pPr>
              <w:rPr>
                <w:rFonts w:cs="Arial"/>
                <w:sz w:val="20"/>
                <w:szCs w:val="20"/>
              </w:rPr>
            </w:pPr>
          </w:p>
        </w:tc>
      </w:tr>
      <w:tr w:rsidR="00962D63" w:rsidRPr="00250E80" w14:paraId="1F299F5C" w14:textId="77777777" w:rsidTr="00A86E87">
        <w:trPr>
          <w:jc w:val="center"/>
        </w:trPr>
        <w:tc>
          <w:tcPr>
            <w:tcW w:w="522" w:type="pct"/>
            <w:shd w:val="clear" w:color="auto" w:fill="auto"/>
          </w:tcPr>
          <w:p w14:paraId="5FDF71E7" w14:textId="77777777" w:rsidR="00962D63" w:rsidRPr="00250E80" w:rsidRDefault="00962D63" w:rsidP="002E5644">
            <w:pPr>
              <w:rPr>
                <w:rFonts w:cs="Arial"/>
                <w:i/>
                <w:sz w:val="20"/>
                <w:szCs w:val="20"/>
              </w:rPr>
            </w:pPr>
          </w:p>
        </w:tc>
        <w:tc>
          <w:tcPr>
            <w:tcW w:w="186" w:type="pct"/>
            <w:shd w:val="clear" w:color="auto" w:fill="auto"/>
            <w:vAlign w:val="center"/>
          </w:tcPr>
          <w:p w14:paraId="1A219DC9" w14:textId="77777777" w:rsidR="00962D63" w:rsidRPr="00B86183" w:rsidRDefault="00962D63" w:rsidP="002E5644">
            <w:pPr>
              <w:jc w:val="center"/>
              <w:rPr>
                <w:rFonts w:cs="Arial"/>
                <w:b/>
                <w:sz w:val="20"/>
                <w:szCs w:val="20"/>
              </w:rPr>
            </w:pPr>
          </w:p>
        </w:tc>
        <w:tc>
          <w:tcPr>
            <w:tcW w:w="1435" w:type="pct"/>
            <w:shd w:val="clear" w:color="auto" w:fill="auto"/>
          </w:tcPr>
          <w:p w14:paraId="16AEECF5" w14:textId="77777777" w:rsidR="00962D63" w:rsidRPr="00AD3780" w:rsidRDefault="00962D63" w:rsidP="002E5644">
            <w:pPr>
              <w:rPr>
                <w:rFonts w:cs="Arial"/>
                <w:sz w:val="20"/>
                <w:szCs w:val="20"/>
              </w:rPr>
            </w:pPr>
          </w:p>
        </w:tc>
        <w:tc>
          <w:tcPr>
            <w:tcW w:w="510" w:type="pct"/>
            <w:shd w:val="clear" w:color="auto" w:fill="auto"/>
            <w:vAlign w:val="center"/>
          </w:tcPr>
          <w:p w14:paraId="4FC52AAD" w14:textId="77777777" w:rsidR="00962D63" w:rsidRPr="00AD3780" w:rsidRDefault="00962D63" w:rsidP="002E5644">
            <w:pPr>
              <w:jc w:val="center"/>
              <w:rPr>
                <w:rFonts w:cs="Arial"/>
                <w:sz w:val="20"/>
                <w:szCs w:val="20"/>
              </w:rPr>
            </w:pPr>
          </w:p>
        </w:tc>
        <w:tc>
          <w:tcPr>
            <w:tcW w:w="838" w:type="pct"/>
            <w:shd w:val="clear" w:color="auto" w:fill="auto"/>
          </w:tcPr>
          <w:p w14:paraId="5A03071D" w14:textId="77777777" w:rsidR="00962D63" w:rsidRPr="00AD3780" w:rsidRDefault="00962D63" w:rsidP="002E5644">
            <w:pPr>
              <w:rPr>
                <w:rFonts w:cs="Arial"/>
                <w:sz w:val="20"/>
                <w:szCs w:val="20"/>
              </w:rPr>
            </w:pPr>
          </w:p>
        </w:tc>
        <w:tc>
          <w:tcPr>
            <w:tcW w:w="1510" w:type="pct"/>
            <w:shd w:val="clear" w:color="auto" w:fill="auto"/>
          </w:tcPr>
          <w:p w14:paraId="4134BC53" w14:textId="77777777" w:rsidR="00962D63" w:rsidRPr="00250E80" w:rsidRDefault="00962D63" w:rsidP="002E5644">
            <w:pPr>
              <w:rPr>
                <w:rFonts w:cs="Arial"/>
                <w:sz w:val="20"/>
                <w:szCs w:val="20"/>
              </w:rPr>
            </w:pPr>
          </w:p>
        </w:tc>
      </w:tr>
    </w:tbl>
    <w:p w14:paraId="1AD352C8" w14:textId="29D33CE7" w:rsidR="00A87219" w:rsidRDefault="00A87219" w:rsidP="002E5644"/>
    <w:p w14:paraId="27D4317A" w14:textId="77777777" w:rsidR="00E64CA2" w:rsidRDefault="00E64CA2" w:rsidP="002E5644"/>
    <w:p w14:paraId="381B8BA3" w14:textId="46DAC413" w:rsidR="006364EA" w:rsidRDefault="006364EA" w:rsidP="002E5644">
      <w:pPr>
        <w:rPr>
          <w:rFonts w:ascii="Arial" w:hAnsi="Arial" w:cs="Arial"/>
          <w:i/>
          <w:sz w:val="20"/>
          <w:szCs w:val="20"/>
        </w:rPr>
      </w:pPr>
      <w:r>
        <w:rPr>
          <w:rFonts w:ascii="Arial" w:eastAsia="Times New Roman" w:hAnsi="Arial"/>
          <w:b/>
          <w:bCs/>
          <w:color w:val="005EB8"/>
          <w:sz w:val="24"/>
          <w:szCs w:val="24"/>
        </w:rPr>
        <w:t>8</w:t>
      </w:r>
      <w:r w:rsidRPr="008D0BA9">
        <w:rPr>
          <w:rFonts w:ascii="Arial" w:eastAsia="Times New Roman" w:hAnsi="Arial"/>
          <w:b/>
          <w:bCs/>
          <w:color w:val="005EB8"/>
          <w:sz w:val="24"/>
          <w:szCs w:val="24"/>
        </w:rPr>
        <w:t>.0</w:t>
      </w:r>
      <w:r w:rsidRPr="008D0BA9">
        <w:rPr>
          <w:rFonts w:ascii="Arial" w:eastAsia="Times New Roman" w:hAnsi="Arial"/>
          <w:b/>
          <w:bCs/>
          <w:color w:val="005EB8"/>
          <w:sz w:val="24"/>
          <w:szCs w:val="24"/>
        </w:rPr>
        <w:tab/>
      </w:r>
      <w:r>
        <w:rPr>
          <w:rFonts w:ascii="Arial" w:eastAsia="Times New Roman" w:hAnsi="Arial"/>
          <w:b/>
          <w:bCs/>
          <w:color w:val="005EB8"/>
          <w:sz w:val="24"/>
          <w:szCs w:val="24"/>
        </w:rPr>
        <w:t>REFERENCES</w:t>
      </w:r>
    </w:p>
    <w:p w14:paraId="71E55EB3" w14:textId="77777777" w:rsidR="00F15BB0" w:rsidRPr="00A87219" w:rsidRDefault="00F15BB0" w:rsidP="002E5644"/>
    <w:p w14:paraId="13C8C2E9" w14:textId="7C6EA795" w:rsidR="006364EA" w:rsidRDefault="006364EA" w:rsidP="00F15BB0">
      <w:pPr>
        <w:pStyle w:val="Default"/>
        <w:ind w:left="720" w:hanging="720"/>
        <w:rPr>
          <w:rFonts w:ascii="Arial" w:hAnsi="Arial" w:cs="Arial"/>
        </w:rPr>
      </w:pPr>
      <w:r>
        <w:rPr>
          <w:rFonts w:ascii="Arial" w:eastAsia="Times New Roman" w:hAnsi="Arial"/>
          <w:bCs/>
        </w:rPr>
        <w:t>8</w:t>
      </w:r>
      <w:r w:rsidRPr="00987FDC">
        <w:rPr>
          <w:rFonts w:ascii="Arial" w:eastAsia="Times New Roman" w:hAnsi="Arial"/>
          <w:bCs/>
        </w:rPr>
        <w:t>.1</w:t>
      </w:r>
      <w:r w:rsidRPr="00987FDC">
        <w:rPr>
          <w:rFonts w:ascii="Arial" w:eastAsia="Times New Roman" w:hAnsi="Arial"/>
          <w:bCs/>
        </w:rPr>
        <w:tab/>
      </w:r>
      <w:r w:rsidR="00F26CA2" w:rsidRPr="004B27A0">
        <w:rPr>
          <w:rFonts w:ascii="Arial" w:hAnsi="Arial" w:cs="Arial"/>
        </w:rPr>
        <w:t xml:space="preserve">Eating </w:t>
      </w:r>
      <w:r w:rsidR="004B27A0" w:rsidRPr="004B27A0">
        <w:rPr>
          <w:rFonts w:ascii="Arial" w:hAnsi="Arial" w:cs="Arial"/>
        </w:rPr>
        <w:t>And Drinking With Acknowledged Risks</w:t>
      </w:r>
      <w:r w:rsidR="00F26CA2" w:rsidRPr="004B27A0">
        <w:rPr>
          <w:rFonts w:ascii="Arial" w:hAnsi="Arial" w:cs="Arial"/>
        </w:rPr>
        <w:t xml:space="preserve">: Multidisciplinary </w:t>
      </w:r>
      <w:r w:rsidR="004B27A0" w:rsidRPr="004B27A0">
        <w:rPr>
          <w:rFonts w:ascii="Arial" w:hAnsi="Arial" w:cs="Arial"/>
        </w:rPr>
        <w:t>Team Guidance For The Shared Decision-Making Process (Adults</w:t>
      </w:r>
      <w:r w:rsidR="00F26CA2" w:rsidRPr="004B27A0">
        <w:rPr>
          <w:rFonts w:ascii="Arial" w:hAnsi="Arial" w:cs="Arial"/>
        </w:rPr>
        <w:t>)</w:t>
      </w:r>
      <w:r w:rsidR="004B27A0">
        <w:rPr>
          <w:rFonts w:ascii="Arial" w:hAnsi="Arial" w:cs="Arial"/>
        </w:rPr>
        <w:t xml:space="preserve"> (</w:t>
      </w:r>
      <w:r w:rsidR="004B27A0">
        <w:rPr>
          <w:rFonts w:ascii="Arial" w:eastAsia="Times New Roman" w:hAnsi="Arial"/>
          <w:bCs/>
        </w:rPr>
        <w:t>RCSLT 2021</w:t>
      </w:r>
      <w:r w:rsidR="004B27A0" w:rsidRPr="004B27A0">
        <w:rPr>
          <w:rFonts w:ascii="Arial" w:eastAsia="Times New Roman" w:hAnsi="Arial"/>
          <w:bCs/>
        </w:rPr>
        <w:t>)</w:t>
      </w:r>
      <w:r w:rsidR="004B27A0">
        <w:rPr>
          <w:rFonts w:ascii="Arial" w:eastAsia="Times New Roman" w:hAnsi="Arial"/>
          <w:bCs/>
        </w:rPr>
        <w:t xml:space="preserve">.  </w:t>
      </w:r>
      <w:hyperlink r:id="rId9" w:history="1">
        <w:r w:rsidR="00F26CA2" w:rsidRPr="00211153">
          <w:rPr>
            <w:rStyle w:val="Hyperlink"/>
            <w:rFonts w:ascii="Arial" w:hAnsi="Arial" w:cs="Arial"/>
          </w:rPr>
          <w:t>https://rcslt.org</w:t>
        </w:r>
      </w:hyperlink>
      <w:r w:rsidR="00F26CA2">
        <w:rPr>
          <w:rFonts w:ascii="Arial" w:hAnsi="Arial" w:cs="Arial"/>
        </w:rPr>
        <w:t xml:space="preserve">. </w:t>
      </w:r>
    </w:p>
    <w:p w14:paraId="1B3E593F" w14:textId="77777777" w:rsidR="00526206" w:rsidRPr="00526206" w:rsidRDefault="00526206" w:rsidP="002E5644">
      <w:pPr>
        <w:autoSpaceDE w:val="0"/>
        <w:autoSpaceDN w:val="0"/>
        <w:adjustRightInd w:val="0"/>
        <w:rPr>
          <w:rFonts w:ascii="Tahoma" w:hAnsi="Tahoma" w:cs="Tahoma"/>
          <w:color w:val="000000"/>
          <w:sz w:val="24"/>
          <w:szCs w:val="24"/>
        </w:rPr>
      </w:pPr>
    </w:p>
    <w:p w14:paraId="2687DABB" w14:textId="1D480057" w:rsidR="0027366A" w:rsidRDefault="00526206" w:rsidP="00F15BB0">
      <w:pPr>
        <w:autoSpaceDE w:val="0"/>
        <w:autoSpaceDN w:val="0"/>
        <w:adjustRightInd w:val="0"/>
        <w:ind w:left="720" w:hanging="720"/>
        <w:rPr>
          <w:rFonts w:ascii="Arial" w:hAnsi="Arial" w:cs="Arial"/>
          <w:sz w:val="24"/>
          <w:szCs w:val="24"/>
        </w:rPr>
      </w:pPr>
      <w:r w:rsidRPr="00526206">
        <w:rPr>
          <w:rFonts w:ascii="Arial" w:hAnsi="Arial" w:cs="Arial"/>
          <w:sz w:val="24"/>
          <w:szCs w:val="24"/>
        </w:rPr>
        <w:t>8.2</w:t>
      </w:r>
      <w:r w:rsidR="00F15BB0">
        <w:rPr>
          <w:rFonts w:ascii="Arial" w:hAnsi="Arial" w:cs="Arial"/>
          <w:sz w:val="24"/>
          <w:szCs w:val="24"/>
        </w:rPr>
        <w:tab/>
      </w:r>
      <w:r w:rsidRPr="00526206">
        <w:rPr>
          <w:rFonts w:ascii="Arial" w:hAnsi="Arial" w:cs="Arial"/>
          <w:sz w:val="24"/>
          <w:szCs w:val="24"/>
        </w:rPr>
        <w:t>Eating, Drinking Swallowing Competency Framework</w:t>
      </w:r>
      <w:r w:rsidR="004B27A0">
        <w:rPr>
          <w:rFonts w:ascii="Arial" w:hAnsi="Arial" w:cs="Arial"/>
          <w:sz w:val="24"/>
          <w:szCs w:val="24"/>
        </w:rPr>
        <w:t xml:space="preserve"> (</w:t>
      </w:r>
      <w:r w:rsidR="004B27A0" w:rsidRPr="00526206">
        <w:rPr>
          <w:rFonts w:ascii="Arial" w:hAnsi="Arial" w:cs="Arial"/>
          <w:sz w:val="24"/>
          <w:szCs w:val="24"/>
        </w:rPr>
        <w:t>RCSLT 2019)</w:t>
      </w:r>
      <w:r w:rsidRPr="00526206">
        <w:rPr>
          <w:rFonts w:ascii="Arial" w:hAnsi="Arial" w:cs="Arial"/>
          <w:sz w:val="24"/>
          <w:szCs w:val="24"/>
        </w:rPr>
        <w:t xml:space="preserve">. </w:t>
      </w:r>
      <w:hyperlink r:id="rId10" w:anchor="section-4" w:history="1">
        <w:r w:rsidRPr="00211153">
          <w:rPr>
            <w:rStyle w:val="Hyperlink"/>
            <w:rFonts w:ascii="Arial" w:hAnsi="Arial" w:cs="Arial"/>
            <w:sz w:val="24"/>
            <w:szCs w:val="24"/>
          </w:rPr>
          <w:t>https://www.rcslt.org/speech-and-language-therapy/clinical-information/dysphagia#section-4</w:t>
        </w:r>
      </w:hyperlink>
    </w:p>
    <w:p w14:paraId="6AB40C12" w14:textId="77777777" w:rsidR="00526206" w:rsidRPr="0027366A" w:rsidRDefault="00526206" w:rsidP="002E5644">
      <w:pPr>
        <w:autoSpaceDE w:val="0"/>
        <w:autoSpaceDN w:val="0"/>
        <w:adjustRightInd w:val="0"/>
        <w:rPr>
          <w:rFonts w:ascii="Arial" w:hAnsi="Arial" w:cs="Arial"/>
          <w:color w:val="000000"/>
          <w:sz w:val="24"/>
          <w:szCs w:val="24"/>
        </w:rPr>
      </w:pPr>
    </w:p>
    <w:p w14:paraId="11EA1BCA" w14:textId="03FF5033" w:rsidR="004B27A0" w:rsidRDefault="0027366A" w:rsidP="00F15BB0">
      <w:pPr>
        <w:pStyle w:val="Default"/>
        <w:ind w:left="720" w:hanging="720"/>
        <w:rPr>
          <w:rFonts w:ascii="Arial" w:hAnsi="Arial" w:cs="Arial"/>
          <w:color w:val="auto"/>
        </w:rPr>
      </w:pPr>
      <w:r w:rsidRPr="0027366A">
        <w:rPr>
          <w:rFonts w:ascii="Arial" w:hAnsi="Arial" w:cs="Arial"/>
          <w:color w:val="auto"/>
        </w:rPr>
        <w:t>8.</w:t>
      </w:r>
      <w:r w:rsidR="00526206">
        <w:rPr>
          <w:rFonts w:ascii="Arial" w:hAnsi="Arial" w:cs="Arial"/>
          <w:color w:val="auto"/>
        </w:rPr>
        <w:t>3</w:t>
      </w:r>
      <w:r w:rsidR="00F15BB0">
        <w:rPr>
          <w:rFonts w:ascii="Arial" w:hAnsi="Arial" w:cs="Arial"/>
          <w:color w:val="auto"/>
        </w:rPr>
        <w:tab/>
      </w:r>
      <w:r w:rsidRPr="0027366A">
        <w:rPr>
          <w:rFonts w:ascii="Arial" w:hAnsi="Arial" w:cs="Arial"/>
          <w:color w:val="auto"/>
        </w:rPr>
        <w:t xml:space="preserve">Prevalence </w:t>
      </w:r>
      <w:r w:rsidR="008E35AB" w:rsidRPr="0027366A">
        <w:rPr>
          <w:rFonts w:ascii="Arial" w:hAnsi="Arial" w:cs="Arial"/>
          <w:color w:val="auto"/>
        </w:rPr>
        <w:t>Of Perceived Dysphagia And Quality-Of-Life Impairment In A Geriatric Population</w:t>
      </w:r>
      <w:r w:rsidR="008E35AB">
        <w:rPr>
          <w:rFonts w:ascii="Arial" w:hAnsi="Arial" w:cs="Arial"/>
          <w:color w:val="auto"/>
        </w:rPr>
        <w:t xml:space="preserve"> (</w:t>
      </w:r>
      <w:r w:rsidRPr="0027366A">
        <w:rPr>
          <w:rFonts w:ascii="Arial" w:hAnsi="Arial" w:cs="Arial"/>
          <w:color w:val="auto"/>
        </w:rPr>
        <w:t>Dysphagia</w:t>
      </w:r>
      <w:r w:rsidR="00D22F55">
        <w:rPr>
          <w:rFonts w:ascii="Arial" w:hAnsi="Arial" w:cs="Arial"/>
          <w:color w:val="auto"/>
        </w:rPr>
        <w:t>.</w:t>
      </w:r>
      <w:r w:rsidRPr="0027366A">
        <w:rPr>
          <w:rFonts w:ascii="Arial" w:hAnsi="Arial" w:cs="Arial"/>
          <w:color w:val="auto"/>
        </w:rPr>
        <w:t xml:space="preserve"> 24, 1-6</w:t>
      </w:r>
      <w:r w:rsidR="008E35AB">
        <w:rPr>
          <w:rFonts w:ascii="Arial" w:hAnsi="Arial" w:cs="Arial"/>
          <w:color w:val="auto"/>
        </w:rPr>
        <w:t>)</w:t>
      </w:r>
      <w:r w:rsidRPr="0027366A">
        <w:rPr>
          <w:rFonts w:ascii="Arial" w:hAnsi="Arial" w:cs="Arial"/>
          <w:color w:val="auto"/>
        </w:rPr>
        <w:t xml:space="preserve"> </w:t>
      </w:r>
      <w:r w:rsidR="004B27A0">
        <w:rPr>
          <w:rFonts w:ascii="Arial" w:hAnsi="Arial" w:cs="Arial"/>
          <w:color w:val="auto"/>
        </w:rPr>
        <w:t>(</w:t>
      </w:r>
      <w:r w:rsidR="004B27A0" w:rsidRPr="0027366A">
        <w:rPr>
          <w:rFonts w:ascii="Arial" w:hAnsi="Arial" w:cs="Arial"/>
          <w:color w:val="auto"/>
        </w:rPr>
        <w:t xml:space="preserve">Chen, PH, Golub, JS, Hapner, ER and Johns, MM </w:t>
      </w:r>
      <w:r w:rsidR="008E35AB">
        <w:rPr>
          <w:rFonts w:ascii="Arial" w:hAnsi="Arial" w:cs="Arial"/>
          <w:color w:val="auto"/>
        </w:rPr>
        <w:t xml:space="preserve">- </w:t>
      </w:r>
      <w:r w:rsidR="004B27A0" w:rsidRPr="0027366A">
        <w:rPr>
          <w:rFonts w:ascii="Arial" w:hAnsi="Arial" w:cs="Arial"/>
          <w:color w:val="auto"/>
        </w:rPr>
        <w:t>2009</w:t>
      </w:r>
      <w:r w:rsidR="008E35AB">
        <w:rPr>
          <w:rFonts w:ascii="Arial" w:hAnsi="Arial" w:cs="Arial"/>
          <w:color w:val="auto"/>
        </w:rPr>
        <w:t>)</w:t>
      </w:r>
    </w:p>
    <w:p w14:paraId="376D4626" w14:textId="28513AFD" w:rsidR="0027366A" w:rsidRDefault="008E35AB" w:rsidP="00F15BB0">
      <w:pPr>
        <w:pStyle w:val="Default"/>
        <w:ind w:left="720" w:hanging="720"/>
        <w:rPr>
          <w:rFonts w:ascii="Arial" w:hAnsi="Arial" w:cs="Arial"/>
          <w:color w:val="auto"/>
        </w:rPr>
      </w:pPr>
      <w:r>
        <w:tab/>
      </w:r>
      <w:hyperlink r:id="rId11" w:history="1">
        <w:r w:rsidRPr="00CD4266">
          <w:rPr>
            <w:rStyle w:val="Hyperlink"/>
            <w:rFonts w:ascii="Arial" w:hAnsi="Arial" w:cs="Arial"/>
          </w:rPr>
          <w:t>https://pubmed.ncbi.nlm.nih.gov/18368451/</w:t>
        </w:r>
      </w:hyperlink>
    </w:p>
    <w:p w14:paraId="4FD9483E" w14:textId="77777777" w:rsidR="00526206" w:rsidRPr="0027366A" w:rsidRDefault="00526206" w:rsidP="002E5644">
      <w:pPr>
        <w:pStyle w:val="Default"/>
        <w:rPr>
          <w:rFonts w:ascii="Arial" w:hAnsi="Arial" w:cs="Arial"/>
        </w:rPr>
      </w:pPr>
    </w:p>
    <w:p w14:paraId="17EA1E31" w14:textId="730441D2" w:rsidR="006364EA" w:rsidRPr="00691294" w:rsidRDefault="006364EA" w:rsidP="00F15BB0">
      <w:pPr>
        <w:pStyle w:val="Default"/>
        <w:ind w:left="720" w:hanging="720"/>
      </w:pPr>
      <w:r>
        <w:rPr>
          <w:rFonts w:ascii="Arial" w:eastAsia="Times New Roman" w:hAnsi="Arial"/>
          <w:bCs/>
        </w:rPr>
        <w:t>8</w:t>
      </w:r>
      <w:r w:rsidRPr="00987FDC">
        <w:rPr>
          <w:rFonts w:ascii="Arial" w:eastAsia="Times New Roman" w:hAnsi="Arial"/>
          <w:bCs/>
        </w:rPr>
        <w:t>.</w:t>
      </w:r>
      <w:r w:rsidR="00526206">
        <w:rPr>
          <w:rFonts w:ascii="Arial" w:eastAsia="Times New Roman" w:hAnsi="Arial"/>
          <w:bCs/>
        </w:rPr>
        <w:t>4</w:t>
      </w:r>
      <w:r w:rsidRPr="00987FDC">
        <w:rPr>
          <w:rFonts w:ascii="Arial" w:eastAsia="Times New Roman" w:hAnsi="Arial"/>
          <w:bCs/>
        </w:rPr>
        <w:tab/>
      </w:r>
      <w:r w:rsidR="00691294" w:rsidRPr="00691294">
        <w:rPr>
          <w:rFonts w:ascii="Arial" w:hAnsi="Arial" w:cs="Arial"/>
        </w:rPr>
        <w:t xml:space="preserve">Dysphagia: </w:t>
      </w:r>
      <w:r w:rsidR="008E35AB" w:rsidRPr="00691294">
        <w:rPr>
          <w:rFonts w:ascii="Arial" w:hAnsi="Arial" w:cs="Arial"/>
        </w:rPr>
        <w:t>Current Reality And Scope Of The Problem</w:t>
      </w:r>
      <w:r w:rsidR="00D22F55">
        <w:rPr>
          <w:rFonts w:ascii="Arial" w:hAnsi="Arial" w:cs="Arial"/>
        </w:rPr>
        <w:t xml:space="preserve"> (</w:t>
      </w:r>
      <w:r w:rsidR="00691294" w:rsidRPr="00691294">
        <w:rPr>
          <w:rFonts w:ascii="Arial" w:hAnsi="Arial" w:cs="Arial"/>
        </w:rPr>
        <w:t>Nature Reviews Gastroenterology &amp; Hepatology 12(5), 259</w:t>
      </w:r>
      <w:r w:rsidR="00D22F55">
        <w:rPr>
          <w:rFonts w:ascii="Arial" w:hAnsi="Arial" w:cs="Arial"/>
        </w:rPr>
        <w:t>)</w:t>
      </w:r>
      <w:r w:rsidR="008E35AB">
        <w:rPr>
          <w:rFonts w:ascii="Arial" w:hAnsi="Arial" w:cs="Arial"/>
        </w:rPr>
        <w:t xml:space="preserve"> (</w:t>
      </w:r>
      <w:r w:rsidR="008E35AB" w:rsidRPr="00691294">
        <w:rPr>
          <w:rFonts w:ascii="Arial" w:hAnsi="Arial" w:cs="Arial"/>
        </w:rPr>
        <w:t>Clavé, P and Shaker, R (2015)</w:t>
      </w:r>
      <w:r w:rsidR="008E35AB">
        <w:rPr>
          <w:rFonts w:ascii="Arial" w:hAnsi="Arial" w:cs="Arial"/>
        </w:rPr>
        <w:t>)</w:t>
      </w:r>
    </w:p>
    <w:p w14:paraId="09DBFA8F" w14:textId="77777777" w:rsidR="00F15BB0" w:rsidRDefault="00F15BB0" w:rsidP="002E5644">
      <w:pPr>
        <w:pStyle w:val="Default"/>
        <w:rPr>
          <w:rFonts w:ascii="Arial" w:eastAsia="Times New Roman" w:hAnsi="Arial"/>
          <w:bCs/>
        </w:rPr>
      </w:pPr>
    </w:p>
    <w:p w14:paraId="0B950476" w14:textId="10978167" w:rsidR="006364EA" w:rsidRDefault="006364EA" w:rsidP="00F15BB0">
      <w:pPr>
        <w:pStyle w:val="Default"/>
        <w:ind w:left="720" w:hanging="720"/>
        <w:rPr>
          <w:rFonts w:ascii="Arial" w:hAnsi="Arial" w:cs="Arial"/>
        </w:rPr>
      </w:pPr>
      <w:r>
        <w:rPr>
          <w:rFonts w:ascii="Arial" w:eastAsia="Times New Roman" w:hAnsi="Arial"/>
          <w:bCs/>
        </w:rPr>
        <w:t>8</w:t>
      </w:r>
      <w:r w:rsidRPr="00987FDC">
        <w:rPr>
          <w:rFonts w:ascii="Arial" w:eastAsia="Times New Roman" w:hAnsi="Arial"/>
          <w:bCs/>
        </w:rPr>
        <w:t>.</w:t>
      </w:r>
      <w:r w:rsidR="00526206">
        <w:rPr>
          <w:rFonts w:ascii="Arial" w:eastAsia="Times New Roman" w:hAnsi="Arial"/>
          <w:bCs/>
        </w:rPr>
        <w:t>5</w:t>
      </w:r>
      <w:r>
        <w:rPr>
          <w:rFonts w:ascii="Arial" w:eastAsia="Times New Roman" w:hAnsi="Arial"/>
          <w:bCs/>
        </w:rPr>
        <w:tab/>
      </w:r>
      <w:r w:rsidR="00691294" w:rsidRPr="00691294">
        <w:rPr>
          <w:rFonts w:ascii="Arial" w:hAnsi="Arial" w:cs="Arial"/>
        </w:rPr>
        <w:t xml:space="preserve">Careful </w:t>
      </w:r>
      <w:r w:rsidR="004B3DE9" w:rsidRPr="00691294">
        <w:rPr>
          <w:rFonts w:ascii="Arial" w:hAnsi="Arial" w:cs="Arial"/>
        </w:rPr>
        <w:t xml:space="preserve">Hand Feeding: A Reasonable Alternative To </w:t>
      </w:r>
      <w:r w:rsidR="00691294" w:rsidRPr="00691294">
        <w:rPr>
          <w:rFonts w:ascii="Arial" w:hAnsi="Arial" w:cs="Arial"/>
        </w:rPr>
        <w:t xml:space="preserve">PEG </w:t>
      </w:r>
      <w:r w:rsidR="004B3DE9" w:rsidRPr="00691294">
        <w:rPr>
          <w:rFonts w:ascii="Arial" w:hAnsi="Arial" w:cs="Arial"/>
        </w:rPr>
        <w:t>Tube Placement In Individuals With Dementia</w:t>
      </w:r>
      <w:r w:rsidR="004B3DE9">
        <w:rPr>
          <w:rFonts w:ascii="Arial" w:hAnsi="Arial" w:cs="Arial"/>
        </w:rPr>
        <w:t xml:space="preserve"> (</w:t>
      </w:r>
      <w:r w:rsidR="00691294" w:rsidRPr="00691294">
        <w:rPr>
          <w:rFonts w:ascii="Arial" w:hAnsi="Arial" w:cs="Arial"/>
        </w:rPr>
        <w:t xml:space="preserve">Journal </w:t>
      </w:r>
      <w:r w:rsidR="004B3DE9" w:rsidRPr="00691294">
        <w:rPr>
          <w:rFonts w:ascii="Arial" w:hAnsi="Arial" w:cs="Arial"/>
        </w:rPr>
        <w:t>Of Gerontological Nursing</w:t>
      </w:r>
      <w:r w:rsidR="00691294" w:rsidRPr="00691294">
        <w:rPr>
          <w:rFonts w:ascii="Arial" w:hAnsi="Arial" w:cs="Arial"/>
        </w:rPr>
        <w:t>. 32(5), 25-33</w:t>
      </w:r>
      <w:r w:rsidR="004B3DE9">
        <w:rPr>
          <w:rFonts w:ascii="Arial" w:hAnsi="Arial" w:cs="Arial"/>
        </w:rPr>
        <w:t>)</w:t>
      </w:r>
      <w:r w:rsidR="00D22F55">
        <w:rPr>
          <w:rFonts w:ascii="Arial" w:hAnsi="Arial" w:cs="Arial"/>
        </w:rPr>
        <w:t xml:space="preserve"> </w:t>
      </w:r>
      <w:r w:rsidR="004B3DE9">
        <w:rPr>
          <w:rFonts w:ascii="Arial" w:hAnsi="Arial" w:cs="Arial"/>
        </w:rPr>
        <w:t>(</w:t>
      </w:r>
      <w:r w:rsidR="00D22F55" w:rsidRPr="00691294">
        <w:rPr>
          <w:rFonts w:ascii="Arial" w:hAnsi="Arial" w:cs="Arial"/>
        </w:rPr>
        <w:t>Dibartolo, MC (2006)</w:t>
      </w:r>
      <w:r w:rsidR="004B3DE9">
        <w:rPr>
          <w:rFonts w:ascii="Arial" w:hAnsi="Arial" w:cs="Arial"/>
        </w:rPr>
        <w:t>)</w:t>
      </w:r>
    </w:p>
    <w:p w14:paraId="6EA849EC" w14:textId="77777777" w:rsidR="00526206" w:rsidRDefault="00526206" w:rsidP="002E5644">
      <w:pPr>
        <w:pStyle w:val="Default"/>
        <w:rPr>
          <w:rFonts w:ascii="Arial" w:hAnsi="Arial" w:cs="Arial"/>
        </w:rPr>
      </w:pPr>
    </w:p>
    <w:p w14:paraId="4FC99C78" w14:textId="4C82F40D" w:rsidR="004B3DE9" w:rsidRDefault="00691294" w:rsidP="00F15BB0">
      <w:pPr>
        <w:pStyle w:val="Default"/>
        <w:ind w:left="720" w:hanging="720"/>
        <w:rPr>
          <w:rFonts w:ascii="Arial" w:hAnsi="Arial" w:cs="Arial"/>
          <w:color w:val="auto"/>
        </w:rPr>
      </w:pPr>
      <w:r>
        <w:rPr>
          <w:rFonts w:ascii="Arial" w:hAnsi="Arial" w:cs="Arial"/>
        </w:rPr>
        <w:t>8.</w:t>
      </w:r>
      <w:r w:rsidR="00526206">
        <w:rPr>
          <w:rFonts w:ascii="Arial" w:hAnsi="Arial" w:cs="Arial"/>
        </w:rPr>
        <w:t>6</w:t>
      </w:r>
      <w:r>
        <w:rPr>
          <w:rFonts w:ascii="Arial" w:hAnsi="Arial" w:cs="Arial"/>
        </w:rPr>
        <w:tab/>
      </w:r>
      <w:r w:rsidRPr="00691294">
        <w:rPr>
          <w:rFonts w:ascii="Arial" w:hAnsi="Arial" w:cs="Arial"/>
          <w:color w:val="auto"/>
        </w:rPr>
        <w:t xml:space="preserve">Aspiration </w:t>
      </w:r>
      <w:r w:rsidR="004B3DE9" w:rsidRPr="00691294">
        <w:rPr>
          <w:rFonts w:ascii="Arial" w:hAnsi="Arial" w:cs="Arial"/>
          <w:color w:val="auto"/>
        </w:rPr>
        <w:t>Pneumonia And Dysphagia In The Elderly</w:t>
      </w:r>
      <w:r w:rsidR="004B3DE9">
        <w:rPr>
          <w:rFonts w:ascii="Arial" w:hAnsi="Arial" w:cs="Arial"/>
          <w:color w:val="auto"/>
        </w:rPr>
        <w:t xml:space="preserve"> (</w:t>
      </w:r>
      <w:r w:rsidRPr="00691294">
        <w:rPr>
          <w:rFonts w:ascii="Arial" w:hAnsi="Arial" w:cs="Arial"/>
          <w:color w:val="auto"/>
        </w:rPr>
        <w:t>Chest. 124, 328-336</w:t>
      </w:r>
      <w:r w:rsidR="004B3DE9">
        <w:rPr>
          <w:rFonts w:ascii="Arial" w:hAnsi="Arial" w:cs="Arial"/>
          <w:color w:val="auto"/>
        </w:rPr>
        <w:t>)</w:t>
      </w:r>
      <w:r w:rsidRPr="00691294">
        <w:rPr>
          <w:rFonts w:ascii="Arial" w:hAnsi="Arial" w:cs="Arial"/>
          <w:color w:val="auto"/>
        </w:rPr>
        <w:t xml:space="preserve"> </w:t>
      </w:r>
      <w:r w:rsidR="004B3DE9">
        <w:rPr>
          <w:rFonts w:ascii="Arial" w:hAnsi="Arial" w:cs="Arial"/>
          <w:color w:val="auto"/>
        </w:rPr>
        <w:t>(</w:t>
      </w:r>
      <w:r w:rsidR="004B3DE9" w:rsidRPr="00691294">
        <w:rPr>
          <w:rFonts w:ascii="Arial" w:hAnsi="Arial" w:cs="Arial"/>
          <w:color w:val="auto"/>
        </w:rPr>
        <w:t>Marik, PE and Kaplan, D (2003)</w:t>
      </w:r>
      <w:r w:rsidR="004B3DE9">
        <w:rPr>
          <w:rFonts w:ascii="Arial" w:hAnsi="Arial" w:cs="Arial"/>
          <w:color w:val="auto"/>
        </w:rPr>
        <w:t>)</w:t>
      </w:r>
    </w:p>
    <w:p w14:paraId="6ED8E15B" w14:textId="1FC50EF9" w:rsidR="006364EA" w:rsidRDefault="003D3490" w:rsidP="004B3DE9">
      <w:pPr>
        <w:pStyle w:val="Default"/>
        <w:ind w:left="720"/>
        <w:rPr>
          <w:rFonts w:ascii="Arial" w:hAnsi="Arial" w:cs="Arial"/>
          <w:color w:val="auto"/>
        </w:rPr>
      </w:pPr>
      <w:hyperlink r:id="rId12" w:history="1">
        <w:r w:rsidR="004B3DE9" w:rsidRPr="00CD4266">
          <w:rPr>
            <w:rStyle w:val="Hyperlink"/>
            <w:rFonts w:ascii="Arial" w:hAnsi="Arial" w:cs="Arial"/>
          </w:rPr>
          <w:t>https://pubmed.ncbi.nlm.nih.gov/12853541/</w:t>
        </w:r>
      </w:hyperlink>
    </w:p>
    <w:p w14:paraId="4B6D863B" w14:textId="77777777" w:rsidR="0027366A" w:rsidRPr="0027366A" w:rsidRDefault="0027366A" w:rsidP="002E5644">
      <w:pPr>
        <w:pStyle w:val="Default"/>
        <w:rPr>
          <w:rFonts w:ascii="Arial" w:hAnsi="Arial" w:cs="Arial"/>
          <w:color w:val="auto"/>
        </w:rPr>
      </w:pPr>
    </w:p>
    <w:p w14:paraId="114A4CA2" w14:textId="3A8F8E4B" w:rsidR="006364EA" w:rsidRPr="0027366A" w:rsidRDefault="0027366A" w:rsidP="002E5644">
      <w:pPr>
        <w:rPr>
          <w:rFonts w:ascii="Arial" w:hAnsi="Arial" w:cs="Arial"/>
          <w:sz w:val="24"/>
          <w:szCs w:val="24"/>
        </w:rPr>
      </w:pPr>
      <w:r w:rsidRPr="0027366A">
        <w:rPr>
          <w:rFonts w:ascii="Arial" w:hAnsi="Arial" w:cs="Arial"/>
          <w:sz w:val="24"/>
          <w:szCs w:val="24"/>
        </w:rPr>
        <w:t>8.</w:t>
      </w:r>
      <w:r w:rsidR="00526206">
        <w:rPr>
          <w:rFonts w:ascii="Arial" w:hAnsi="Arial" w:cs="Arial"/>
          <w:sz w:val="24"/>
          <w:szCs w:val="24"/>
        </w:rPr>
        <w:t>7</w:t>
      </w:r>
      <w:r>
        <w:rPr>
          <w:rFonts w:ascii="Tahoma" w:hAnsi="Tahoma" w:cs="Tahoma"/>
          <w:sz w:val="20"/>
          <w:szCs w:val="20"/>
        </w:rPr>
        <w:tab/>
      </w:r>
      <w:r w:rsidRPr="0027366A">
        <w:rPr>
          <w:rFonts w:ascii="Arial" w:hAnsi="Arial" w:cs="Arial"/>
          <w:sz w:val="24"/>
          <w:szCs w:val="24"/>
        </w:rPr>
        <w:t xml:space="preserve">Dysphagia: </w:t>
      </w:r>
      <w:r w:rsidR="004B3DE9" w:rsidRPr="0027366A">
        <w:rPr>
          <w:rFonts w:ascii="Arial" w:hAnsi="Arial" w:cs="Arial"/>
          <w:sz w:val="24"/>
          <w:szCs w:val="24"/>
        </w:rPr>
        <w:t>A Geriatric Giant</w:t>
      </w:r>
      <w:r w:rsidR="004B3DE9">
        <w:rPr>
          <w:rFonts w:ascii="Arial" w:hAnsi="Arial" w:cs="Arial"/>
          <w:sz w:val="24"/>
          <w:szCs w:val="24"/>
        </w:rPr>
        <w:t xml:space="preserve"> (</w:t>
      </w:r>
      <w:r w:rsidRPr="0027366A">
        <w:rPr>
          <w:rFonts w:ascii="Arial" w:hAnsi="Arial" w:cs="Arial"/>
          <w:sz w:val="24"/>
          <w:szCs w:val="24"/>
        </w:rPr>
        <w:t>Med Clin Rev. 2(1), 1-7</w:t>
      </w:r>
      <w:r w:rsidR="004B3DE9">
        <w:rPr>
          <w:rFonts w:ascii="Arial" w:hAnsi="Arial" w:cs="Arial"/>
          <w:sz w:val="24"/>
          <w:szCs w:val="24"/>
        </w:rPr>
        <w:t>) (</w:t>
      </w:r>
      <w:r w:rsidR="004B3DE9" w:rsidRPr="0027366A">
        <w:rPr>
          <w:rFonts w:ascii="Arial" w:hAnsi="Arial" w:cs="Arial"/>
          <w:sz w:val="24"/>
          <w:szCs w:val="24"/>
        </w:rPr>
        <w:t>Smithard, DG (2016)</w:t>
      </w:r>
      <w:r w:rsidR="004B3DE9">
        <w:rPr>
          <w:rFonts w:ascii="Arial" w:hAnsi="Arial" w:cs="Arial"/>
          <w:sz w:val="24"/>
          <w:szCs w:val="24"/>
        </w:rPr>
        <w:t>)</w:t>
      </w:r>
    </w:p>
    <w:p w14:paraId="173B1900" w14:textId="30529EA0" w:rsidR="0038409A" w:rsidRPr="008D0BA9" w:rsidRDefault="00CD2B67" w:rsidP="004B3DE9">
      <w:pPr>
        <w:rPr>
          <w:rFonts w:ascii="Arial" w:eastAsia="Times New Roman" w:hAnsi="Arial"/>
          <w:b/>
          <w:bCs/>
          <w:color w:val="005EB8"/>
          <w:sz w:val="24"/>
          <w:szCs w:val="24"/>
        </w:rPr>
      </w:pPr>
      <w:bookmarkStart w:id="4" w:name="_Toc518316090"/>
      <w:bookmarkEnd w:id="3"/>
      <w:r>
        <w:rPr>
          <w:rFonts w:ascii="Arial" w:eastAsia="Times New Roman" w:hAnsi="Arial"/>
          <w:b/>
          <w:bCs/>
          <w:color w:val="005EB8"/>
          <w:sz w:val="24"/>
          <w:szCs w:val="24"/>
        </w:rPr>
        <w:br w:type="page"/>
      </w:r>
      <w:r>
        <w:rPr>
          <w:rFonts w:ascii="Arial" w:eastAsia="Times New Roman" w:hAnsi="Arial"/>
          <w:b/>
          <w:bCs/>
          <w:color w:val="005EB8"/>
          <w:sz w:val="24"/>
          <w:szCs w:val="24"/>
        </w:rPr>
        <w:lastRenderedPageBreak/>
        <w:t>9.</w:t>
      </w:r>
      <w:r w:rsidR="0038409A" w:rsidRPr="008D0BA9">
        <w:rPr>
          <w:rFonts w:ascii="Arial" w:eastAsia="Times New Roman" w:hAnsi="Arial"/>
          <w:b/>
          <w:bCs/>
          <w:color w:val="005EB8"/>
          <w:sz w:val="24"/>
          <w:szCs w:val="24"/>
        </w:rPr>
        <w:tab/>
        <w:t>APPENDIX A</w:t>
      </w:r>
      <w:bookmarkEnd w:id="4"/>
    </w:p>
    <w:p w14:paraId="513AC9AD" w14:textId="77777777" w:rsidR="0038409A" w:rsidRPr="005B49BD" w:rsidRDefault="0038409A" w:rsidP="002E5644">
      <w:pPr>
        <w:rPr>
          <w:rFonts w:ascii="Arial" w:hAnsi="Arial" w:cs="Arial"/>
          <w:sz w:val="24"/>
          <w:szCs w:val="24"/>
        </w:rPr>
      </w:pPr>
    </w:p>
    <w:sectPr w:rsidR="0038409A" w:rsidRPr="005B49BD" w:rsidSect="0079393B">
      <w:headerReference w:type="default" r:id="rId13"/>
      <w:footerReference w:type="default" r:id="rId14"/>
      <w:pgSz w:w="11906" w:h="16838"/>
      <w:pgMar w:top="1440" w:right="1440" w:bottom="1440" w:left="1440" w:header="115"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7DFA" w14:textId="77777777" w:rsidR="007466A1" w:rsidRDefault="007466A1" w:rsidP="00E02B6E">
      <w:r>
        <w:separator/>
      </w:r>
    </w:p>
  </w:endnote>
  <w:endnote w:type="continuationSeparator" w:id="0">
    <w:p w14:paraId="11EEDC8B" w14:textId="77777777" w:rsidR="007466A1" w:rsidRDefault="007466A1" w:rsidP="00E0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58146"/>
      <w:docPartObj>
        <w:docPartGallery w:val="Page Numbers (Bottom of Page)"/>
        <w:docPartUnique/>
      </w:docPartObj>
    </w:sdtPr>
    <w:sdtEndPr/>
    <w:sdtContent>
      <w:sdt>
        <w:sdtPr>
          <w:id w:val="98381352"/>
          <w:docPartObj>
            <w:docPartGallery w:val="Page Numbers (Top of Page)"/>
            <w:docPartUnique/>
          </w:docPartObj>
        </w:sdtPr>
        <w:sdtEndPr/>
        <w:sdtContent>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5"/>
              <w:gridCol w:w="4502"/>
            </w:tblGrid>
            <w:tr w:rsidR="0000286E" w14:paraId="0E4BB810" w14:textId="77777777" w:rsidTr="00E16D7C">
              <w:tc>
                <w:tcPr>
                  <w:tcW w:w="2552" w:type="dxa"/>
                </w:tcPr>
                <w:p w14:paraId="63D09C8D" w14:textId="77777777" w:rsidR="0000286E" w:rsidRDefault="0000286E" w:rsidP="00FE202E">
                  <w:pPr>
                    <w:pStyle w:val="Footer"/>
                    <w:rPr>
                      <w:sz w:val="18"/>
                      <w:szCs w:val="18"/>
                    </w:rPr>
                  </w:pPr>
                  <w:r>
                    <w:rPr>
                      <w:sz w:val="18"/>
                      <w:szCs w:val="18"/>
                    </w:rPr>
                    <w:t>Version:</w:t>
                  </w:r>
                </w:p>
              </w:tc>
              <w:tc>
                <w:tcPr>
                  <w:tcW w:w="2835" w:type="dxa"/>
                </w:tcPr>
                <w:p w14:paraId="5512C15C" w14:textId="77777777" w:rsidR="0000286E" w:rsidRDefault="0000286E" w:rsidP="00FE202E">
                  <w:pPr>
                    <w:pStyle w:val="Footer"/>
                    <w:rPr>
                      <w:sz w:val="18"/>
                      <w:szCs w:val="18"/>
                    </w:rPr>
                  </w:pPr>
                  <w:r>
                    <w:rPr>
                      <w:sz w:val="18"/>
                      <w:szCs w:val="18"/>
                    </w:rPr>
                    <w:t>Issue date:</w:t>
                  </w:r>
                </w:p>
              </w:tc>
              <w:tc>
                <w:tcPr>
                  <w:tcW w:w="4502" w:type="dxa"/>
                </w:tcPr>
                <w:p w14:paraId="4B90D517" w14:textId="77777777" w:rsidR="0000286E" w:rsidRDefault="0000286E" w:rsidP="00E16D7C">
                  <w:pPr>
                    <w:pStyle w:val="Footer"/>
                    <w:tabs>
                      <w:tab w:val="clear" w:pos="4513"/>
                      <w:tab w:val="center" w:pos="4113"/>
                    </w:tabs>
                    <w:rPr>
                      <w:sz w:val="18"/>
                      <w:szCs w:val="18"/>
                    </w:rPr>
                  </w:pPr>
                  <w:r>
                    <w:rPr>
                      <w:sz w:val="18"/>
                      <w:szCs w:val="18"/>
                    </w:rPr>
                    <w:t>Review date:</w:t>
                  </w:r>
                  <w:r w:rsidR="00E16D7C">
                    <w:rPr>
                      <w:sz w:val="18"/>
                      <w:szCs w:val="18"/>
                    </w:rPr>
                    <w:tab/>
                  </w:r>
                  <w:r w:rsidR="00E16D7C" w:rsidRPr="00E16D7C">
                    <w:rPr>
                      <w:sz w:val="18"/>
                      <w:szCs w:val="18"/>
                    </w:rPr>
                    <w:t xml:space="preserve">Page </w:t>
                  </w:r>
                  <w:r w:rsidR="00E16D7C" w:rsidRPr="00E16D7C">
                    <w:rPr>
                      <w:b/>
                      <w:bCs/>
                      <w:sz w:val="18"/>
                      <w:szCs w:val="18"/>
                    </w:rPr>
                    <w:fldChar w:fldCharType="begin"/>
                  </w:r>
                  <w:r w:rsidR="00E16D7C" w:rsidRPr="00E16D7C">
                    <w:rPr>
                      <w:b/>
                      <w:bCs/>
                      <w:sz w:val="18"/>
                      <w:szCs w:val="18"/>
                    </w:rPr>
                    <w:instrText xml:space="preserve"> PAGE  \* Arabic  \* MERGEFORMAT </w:instrText>
                  </w:r>
                  <w:r w:rsidR="00E16D7C" w:rsidRPr="00E16D7C">
                    <w:rPr>
                      <w:b/>
                      <w:bCs/>
                      <w:sz w:val="18"/>
                      <w:szCs w:val="18"/>
                    </w:rPr>
                    <w:fldChar w:fldCharType="separate"/>
                  </w:r>
                  <w:r w:rsidR="00C30836">
                    <w:rPr>
                      <w:b/>
                      <w:bCs/>
                      <w:noProof/>
                      <w:sz w:val="18"/>
                      <w:szCs w:val="18"/>
                    </w:rPr>
                    <w:t>2</w:t>
                  </w:r>
                  <w:r w:rsidR="00E16D7C" w:rsidRPr="00E16D7C">
                    <w:rPr>
                      <w:b/>
                      <w:bCs/>
                      <w:sz w:val="18"/>
                      <w:szCs w:val="18"/>
                    </w:rPr>
                    <w:fldChar w:fldCharType="end"/>
                  </w:r>
                  <w:r w:rsidR="00E16D7C" w:rsidRPr="00E16D7C">
                    <w:rPr>
                      <w:sz w:val="18"/>
                      <w:szCs w:val="18"/>
                    </w:rPr>
                    <w:t xml:space="preserve"> of </w:t>
                  </w:r>
                  <w:r w:rsidR="00E16D7C" w:rsidRPr="00E16D7C">
                    <w:rPr>
                      <w:b/>
                      <w:bCs/>
                      <w:sz w:val="18"/>
                      <w:szCs w:val="18"/>
                    </w:rPr>
                    <w:fldChar w:fldCharType="begin"/>
                  </w:r>
                  <w:r w:rsidR="00E16D7C" w:rsidRPr="00E16D7C">
                    <w:rPr>
                      <w:b/>
                      <w:bCs/>
                      <w:sz w:val="18"/>
                      <w:szCs w:val="18"/>
                    </w:rPr>
                    <w:instrText xml:space="preserve"> NUMPAGES  \* Arabic  \* MERGEFORMAT </w:instrText>
                  </w:r>
                  <w:r w:rsidR="00E16D7C" w:rsidRPr="00E16D7C">
                    <w:rPr>
                      <w:b/>
                      <w:bCs/>
                      <w:sz w:val="18"/>
                      <w:szCs w:val="18"/>
                    </w:rPr>
                    <w:fldChar w:fldCharType="separate"/>
                  </w:r>
                  <w:r w:rsidR="00C30836">
                    <w:rPr>
                      <w:b/>
                      <w:bCs/>
                      <w:noProof/>
                      <w:sz w:val="18"/>
                      <w:szCs w:val="18"/>
                    </w:rPr>
                    <w:t>7</w:t>
                  </w:r>
                  <w:r w:rsidR="00E16D7C" w:rsidRPr="00E16D7C">
                    <w:rPr>
                      <w:b/>
                      <w:bCs/>
                      <w:sz w:val="18"/>
                      <w:szCs w:val="18"/>
                    </w:rPr>
                    <w:fldChar w:fldCharType="end"/>
                  </w:r>
                </w:p>
              </w:tc>
            </w:tr>
          </w:tbl>
          <w:p w14:paraId="09E0F616" w14:textId="77777777" w:rsidR="00FE202E" w:rsidRDefault="003D3490" w:rsidP="00E16D7C">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5474" w14:textId="77777777" w:rsidR="007466A1" w:rsidRDefault="007466A1" w:rsidP="00E02B6E">
      <w:r>
        <w:separator/>
      </w:r>
    </w:p>
  </w:footnote>
  <w:footnote w:type="continuationSeparator" w:id="0">
    <w:p w14:paraId="230D8C7B" w14:textId="77777777" w:rsidR="007466A1" w:rsidRDefault="007466A1" w:rsidP="00E02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30709"/>
      <w:docPartObj>
        <w:docPartGallery w:val="Watermarks"/>
        <w:docPartUnique/>
      </w:docPartObj>
    </w:sdtPr>
    <w:sdtEndPr/>
    <w:sdtContent>
      <w:p w14:paraId="028BDBAF" w14:textId="77777777" w:rsidR="00EE563D" w:rsidRDefault="003D3490">
        <w:pPr>
          <w:pStyle w:val="Header"/>
        </w:pPr>
        <w:r>
          <w:rPr>
            <w:noProof/>
            <w:lang w:val="en-US" w:eastAsia="zh-TW"/>
          </w:rPr>
          <w:pict w14:anchorId="6F25CF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006"/>
    <w:multiLevelType w:val="multilevel"/>
    <w:tmpl w:val="D24A1B5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F1DF5"/>
    <w:multiLevelType w:val="hybridMultilevel"/>
    <w:tmpl w:val="03901CA6"/>
    <w:lvl w:ilvl="0" w:tplc="CC46365A">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B7B1C88"/>
    <w:multiLevelType w:val="hybridMultilevel"/>
    <w:tmpl w:val="A6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0154B"/>
    <w:multiLevelType w:val="hybridMultilevel"/>
    <w:tmpl w:val="42F4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B6B04"/>
    <w:multiLevelType w:val="hybridMultilevel"/>
    <w:tmpl w:val="FBE4FD98"/>
    <w:lvl w:ilvl="0" w:tplc="D89EB242">
      <w:start w:val="1"/>
      <w:numFmt w:val="upperLetter"/>
      <w:lvlText w:val="%1."/>
      <w:lvlJc w:val="left"/>
      <w:pPr>
        <w:ind w:left="720" w:hanging="360"/>
      </w:pPr>
      <w:rPr>
        <w:rFonts w:ascii="Calibri" w:eastAsiaTheme="minorHAns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0028B"/>
    <w:multiLevelType w:val="hybridMultilevel"/>
    <w:tmpl w:val="92EC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9137E"/>
    <w:multiLevelType w:val="multilevel"/>
    <w:tmpl w:val="D73A843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22137C"/>
    <w:multiLevelType w:val="multilevel"/>
    <w:tmpl w:val="6F0ED33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23839"/>
    <w:multiLevelType w:val="hybridMultilevel"/>
    <w:tmpl w:val="12B4C6C8"/>
    <w:lvl w:ilvl="0" w:tplc="923C7B6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87717"/>
    <w:multiLevelType w:val="hybridMultilevel"/>
    <w:tmpl w:val="1006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3D1340"/>
    <w:multiLevelType w:val="hybridMultilevel"/>
    <w:tmpl w:val="58622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D759D"/>
    <w:multiLevelType w:val="hybridMultilevel"/>
    <w:tmpl w:val="BC98C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57CE6"/>
    <w:multiLevelType w:val="hybridMultilevel"/>
    <w:tmpl w:val="AB84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4699F"/>
    <w:multiLevelType w:val="hybridMultilevel"/>
    <w:tmpl w:val="5F7ED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9203D8"/>
    <w:multiLevelType w:val="hybridMultilevel"/>
    <w:tmpl w:val="85F81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5D757F"/>
    <w:multiLevelType w:val="hybridMultilevel"/>
    <w:tmpl w:val="A7A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62352"/>
    <w:multiLevelType w:val="hybridMultilevel"/>
    <w:tmpl w:val="932CA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D6EAD"/>
    <w:multiLevelType w:val="hybridMultilevel"/>
    <w:tmpl w:val="4C20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81DED"/>
    <w:multiLevelType w:val="hybridMultilevel"/>
    <w:tmpl w:val="63B6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163F2"/>
    <w:multiLevelType w:val="hybridMultilevel"/>
    <w:tmpl w:val="EC8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12EFB"/>
    <w:multiLevelType w:val="hybridMultilevel"/>
    <w:tmpl w:val="338E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63012B"/>
    <w:multiLevelType w:val="hybridMultilevel"/>
    <w:tmpl w:val="040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6734E"/>
    <w:multiLevelType w:val="hybridMultilevel"/>
    <w:tmpl w:val="06C6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A4E7F"/>
    <w:multiLevelType w:val="hybridMultilevel"/>
    <w:tmpl w:val="5E70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3005"/>
    <w:multiLevelType w:val="hybridMultilevel"/>
    <w:tmpl w:val="D50C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02D3B"/>
    <w:multiLevelType w:val="hybridMultilevel"/>
    <w:tmpl w:val="EF9A6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E44ED"/>
    <w:multiLevelType w:val="hybridMultilevel"/>
    <w:tmpl w:val="FB1E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F6414"/>
    <w:multiLevelType w:val="multilevel"/>
    <w:tmpl w:val="1B38919E"/>
    <w:lvl w:ilvl="0">
      <w:start w:val="1"/>
      <w:numFmt w:val="decimal"/>
      <w:lvlText w:val="%1.0"/>
      <w:lvlJc w:val="left"/>
      <w:pPr>
        <w:ind w:left="720" w:hanging="720"/>
      </w:pPr>
      <w:rPr>
        <w:rFonts w:eastAsia="Times New Roman" w:hint="default"/>
        <w:b/>
        <w:i w:val="0"/>
        <w:color w:val="005EB8"/>
        <w:sz w:val="24"/>
      </w:rPr>
    </w:lvl>
    <w:lvl w:ilvl="1">
      <w:start w:val="1"/>
      <w:numFmt w:val="decimal"/>
      <w:lvlText w:val="%1.%2"/>
      <w:lvlJc w:val="left"/>
      <w:pPr>
        <w:ind w:left="1440" w:hanging="720"/>
      </w:pPr>
      <w:rPr>
        <w:rFonts w:eastAsia="Times New Roman" w:hint="default"/>
        <w:b/>
        <w:i w:val="0"/>
        <w:color w:val="005EB8"/>
        <w:sz w:val="24"/>
      </w:rPr>
    </w:lvl>
    <w:lvl w:ilvl="2">
      <w:start w:val="1"/>
      <w:numFmt w:val="decimal"/>
      <w:lvlText w:val="%1.%2.%3"/>
      <w:lvlJc w:val="left"/>
      <w:pPr>
        <w:ind w:left="2160" w:hanging="720"/>
      </w:pPr>
      <w:rPr>
        <w:rFonts w:eastAsia="Times New Roman" w:hint="default"/>
        <w:b/>
        <w:i w:val="0"/>
        <w:color w:val="005EB8"/>
        <w:sz w:val="24"/>
      </w:rPr>
    </w:lvl>
    <w:lvl w:ilvl="3">
      <w:start w:val="1"/>
      <w:numFmt w:val="decimal"/>
      <w:lvlText w:val="%1.%2.%3.%4"/>
      <w:lvlJc w:val="left"/>
      <w:pPr>
        <w:ind w:left="2880" w:hanging="720"/>
      </w:pPr>
      <w:rPr>
        <w:rFonts w:eastAsia="Times New Roman" w:hint="default"/>
        <w:b/>
        <w:i w:val="0"/>
        <w:color w:val="005EB8"/>
        <w:sz w:val="24"/>
      </w:rPr>
    </w:lvl>
    <w:lvl w:ilvl="4">
      <w:start w:val="1"/>
      <w:numFmt w:val="decimal"/>
      <w:lvlText w:val="%1.%2.%3.%4.%5"/>
      <w:lvlJc w:val="left"/>
      <w:pPr>
        <w:ind w:left="3960" w:hanging="1080"/>
      </w:pPr>
      <w:rPr>
        <w:rFonts w:eastAsia="Times New Roman" w:hint="default"/>
        <w:b/>
        <w:i w:val="0"/>
        <w:color w:val="005EB8"/>
        <w:sz w:val="24"/>
      </w:rPr>
    </w:lvl>
    <w:lvl w:ilvl="5">
      <w:start w:val="1"/>
      <w:numFmt w:val="decimal"/>
      <w:lvlText w:val="%1.%2.%3.%4.%5.%6"/>
      <w:lvlJc w:val="left"/>
      <w:pPr>
        <w:ind w:left="4680" w:hanging="1080"/>
      </w:pPr>
      <w:rPr>
        <w:rFonts w:eastAsia="Times New Roman" w:hint="default"/>
        <w:b/>
        <w:i w:val="0"/>
        <w:color w:val="005EB8"/>
        <w:sz w:val="24"/>
      </w:rPr>
    </w:lvl>
    <w:lvl w:ilvl="6">
      <w:start w:val="1"/>
      <w:numFmt w:val="decimal"/>
      <w:lvlText w:val="%1.%2.%3.%4.%5.%6.%7"/>
      <w:lvlJc w:val="left"/>
      <w:pPr>
        <w:ind w:left="5760" w:hanging="1440"/>
      </w:pPr>
      <w:rPr>
        <w:rFonts w:eastAsia="Times New Roman" w:hint="default"/>
        <w:b/>
        <w:i w:val="0"/>
        <w:color w:val="005EB8"/>
        <w:sz w:val="24"/>
      </w:rPr>
    </w:lvl>
    <w:lvl w:ilvl="7">
      <w:start w:val="1"/>
      <w:numFmt w:val="decimal"/>
      <w:lvlText w:val="%1.%2.%3.%4.%5.%6.%7.%8"/>
      <w:lvlJc w:val="left"/>
      <w:pPr>
        <w:ind w:left="6480" w:hanging="1440"/>
      </w:pPr>
      <w:rPr>
        <w:rFonts w:eastAsia="Times New Roman" w:hint="default"/>
        <w:b/>
        <w:i w:val="0"/>
        <w:color w:val="005EB8"/>
        <w:sz w:val="24"/>
      </w:rPr>
    </w:lvl>
    <w:lvl w:ilvl="8">
      <w:start w:val="1"/>
      <w:numFmt w:val="decimal"/>
      <w:lvlText w:val="%1.%2.%3.%4.%5.%6.%7.%8.%9"/>
      <w:lvlJc w:val="left"/>
      <w:pPr>
        <w:ind w:left="7560" w:hanging="1800"/>
      </w:pPr>
      <w:rPr>
        <w:rFonts w:eastAsia="Times New Roman" w:hint="default"/>
        <w:b/>
        <w:i w:val="0"/>
        <w:color w:val="005EB8"/>
        <w:sz w:val="24"/>
      </w:rPr>
    </w:lvl>
  </w:abstractNum>
  <w:abstractNum w:abstractNumId="28" w15:restartNumberingAfterBreak="0">
    <w:nsid w:val="75E345E9"/>
    <w:multiLevelType w:val="hybridMultilevel"/>
    <w:tmpl w:val="7D86E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27BFE"/>
    <w:multiLevelType w:val="hybridMultilevel"/>
    <w:tmpl w:val="0C6CF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3385236">
    <w:abstractNumId w:val="25"/>
  </w:num>
  <w:num w:numId="2" w16cid:durableId="1841315404">
    <w:abstractNumId w:val="17"/>
  </w:num>
  <w:num w:numId="3" w16cid:durableId="1014379232">
    <w:abstractNumId w:val="18"/>
  </w:num>
  <w:num w:numId="4" w16cid:durableId="1575623543">
    <w:abstractNumId w:val="24"/>
  </w:num>
  <w:num w:numId="5" w16cid:durableId="1398820609">
    <w:abstractNumId w:val="15"/>
  </w:num>
  <w:num w:numId="6" w16cid:durableId="2104302199">
    <w:abstractNumId w:val="12"/>
  </w:num>
  <w:num w:numId="7" w16cid:durableId="1639921264">
    <w:abstractNumId w:val="16"/>
  </w:num>
  <w:num w:numId="8" w16cid:durableId="199439211">
    <w:abstractNumId w:val="14"/>
  </w:num>
  <w:num w:numId="9" w16cid:durableId="1689022506">
    <w:abstractNumId w:val="13"/>
  </w:num>
  <w:num w:numId="10" w16cid:durableId="971404075">
    <w:abstractNumId w:val="21"/>
  </w:num>
  <w:num w:numId="11" w16cid:durableId="221404074">
    <w:abstractNumId w:val="22"/>
  </w:num>
  <w:num w:numId="12" w16cid:durableId="866528114">
    <w:abstractNumId w:val="2"/>
  </w:num>
  <w:num w:numId="13" w16cid:durableId="110784206">
    <w:abstractNumId w:val="11"/>
  </w:num>
  <w:num w:numId="14" w16cid:durableId="1949047965">
    <w:abstractNumId w:val="10"/>
  </w:num>
  <w:num w:numId="15" w16cid:durableId="514270160">
    <w:abstractNumId w:val="29"/>
  </w:num>
  <w:num w:numId="16" w16cid:durableId="1814635752">
    <w:abstractNumId w:val="9"/>
  </w:num>
  <w:num w:numId="17" w16cid:durableId="1819614218">
    <w:abstractNumId w:val="1"/>
  </w:num>
  <w:num w:numId="18" w16cid:durableId="1422220623">
    <w:abstractNumId w:val="20"/>
  </w:num>
  <w:num w:numId="19" w16cid:durableId="177551800">
    <w:abstractNumId w:val="19"/>
  </w:num>
  <w:num w:numId="20" w16cid:durableId="168178864">
    <w:abstractNumId w:val="4"/>
  </w:num>
  <w:num w:numId="21" w16cid:durableId="390426510">
    <w:abstractNumId w:val="23"/>
  </w:num>
  <w:num w:numId="22" w16cid:durableId="587466761">
    <w:abstractNumId w:val="27"/>
  </w:num>
  <w:num w:numId="23" w16cid:durableId="2054651367">
    <w:abstractNumId w:val="3"/>
  </w:num>
  <w:num w:numId="24" w16cid:durableId="2028873337">
    <w:abstractNumId w:val="5"/>
  </w:num>
  <w:num w:numId="25" w16cid:durableId="781338460">
    <w:abstractNumId w:val="26"/>
  </w:num>
  <w:num w:numId="26" w16cid:durableId="1893349002">
    <w:abstractNumId w:val="8"/>
  </w:num>
  <w:num w:numId="27" w16cid:durableId="1464152338">
    <w:abstractNumId w:val="28"/>
  </w:num>
  <w:num w:numId="28" w16cid:durableId="1366829596">
    <w:abstractNumId w:val="6"/>
  </w:num>
  <w:num w:numId="29" w16cid:durableId="648218517">
    <w:abstractNumId w:val="0"/>
  </w:num>
  <w:num w:numId="30" w16cid:durableId="904494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AE"/>
    <w:rsid w:val="000027F3"/>
    <w:rsid w:val="0000286E"/>
    <w:rsid w:val="000110F0"/>
    <w:rsid w:val="000214EC"/>
    <w:rsid w:val="00024C16"/>
    <w:rsid w:val="00031313"/>
    <w:rsid w:val="000366E0"/>
    <w:rsid w:val="00080EF1"/>
    <w:rsid w:val="00087407"/>
    <w:rsid w:val="00090051"/>
    <w:rsid w:val="000C0EAE"/>
    <w:rsid w:val="000C42A6"/>
    <w:rsid w:val="00111857"/>
    <w:rsid w:val="0012283A"/>
    <w:rsid w:val="001253D8"/>
    <w:rsid w:val="0012574B"/>
    <w:rsid w:val="00131926"/>
    <w:rsid w:val="00146F74"/>
    <w:rsid w:val="00152248"/>
    <w:rsid w:val="001613D0"/>
    <w:rsid w:val="00170460"/>
    <w:rsid w:val="00185BC9"/>
    <w:rsid w:val="0019765D"/>
    <w:rsid w:val="001C4B4E"/>
    <w:rsid w:val="001F6979"/>
    <w:rsid w:val="002103D0"/>
    <w:rsid w:val="00217B89"/>
    <w:rsid w:val="00220EBA"/>
    <w:rsid w:val="00230406"/>
    <w:rsid w:val="002353BF"/>
    <w:rsid w:val="0024703F"/>
    <w:rsid w:val="00247EE7"/>
    <w:rsid w:val="0025258A"/>
    <w:rsid w:val="00255BBF"/>
    <w:rsid w:val="002664AA"/>
    <w:rsid w:val="0027366A"/>
    <w:rsid w:val="00293922"/>
    <w:rsid w:val="00297784"/>
    <w:rsid w:val="002A0DB2"/>
    <w:rsid w:val="002A1891"/>
    <w:rsid w:val="002A74BC"/>
    <w:rsid w:val="002B7828"/>
    <w:rsid w:val="002C3C14"/>
    <w:rsid w:val="002C4B03"/>
    <w:rsid w:val="002E2C95"/>
    <w:rsid w:val="002E40C5"/>
    <w:rsid w:val="002E5644"/>
    <w:rsid w:val="002F558D"/>
    <w:rsid w:val="002F6DDC"/>
    <w:rsid w:val="0030189C"/>
    <w:rsid w:val="0030253C"/>
    <w:rsid w:val="00306903"/>
    <w:rsid w:val="003069D4"/>
    <w:rsid w:val="0031673D"/>
    <w:rsid w:val="00321CCB"/>
    <w:rsid w:val="00326562"/>
    <w:rsid w:val="00334C8D"/>
    <w:rsid w:val="00375EE4"/>
    <w:rsid w:val="003824FC"/>
    <w:rsid w:val="0038409A"/>
    <w:rsid w:val="00396AD5"/>
    <w:rsid w:val="003B1B8C"/>
    <w:rsid w:val="003B280F"/>
    <w:rsid w:val="003D0764"/>
    <w:rsid w:val="003D1B9C"/>
    <w:rsid w:val="003D3490"/>
    <w:rsid w:val="003D6223"/>
    <w:rsid w:val="003D671B"/>
    <w:rsid w:val="003E02C1"/>
    <w:rsid w:val="003E15B1"/>
    <w:rsid w:val="003F0AB8"/>
    <w:rsid w:val="003F1BF0"/>
    <w:rsid w:val="003F72D2"/>
    <w:rsid w:val="00403B2C"/>
    <w:rsid w:val="0041293D"/>
    <w:rsid w:val="0042339F"/>
    <w:rsid w:val="00427B0A"/>
    <w:rsid w:val="00442B0B"/>
    <w:rsid w:val="00442D4D"/>
    <w:rsid w:val="00460761"/>
    <w:rsid w:val="00473E38"/>
    <w:rsid w:val="004779FA"/>
    <w:rsid w:val="00481D1A"/>
    <w:rsid w:val="00491770"/>
    <w:rsid w:val="004A2882"/>
    <w:rsid w:val="004A2D19"/>
    <w:rsid w:val="004B2773"/>
    <w:rsid w:val="004B27A0"/>
    <w:rsid w:val="004B3DE9"/>
    <w:rsid w:val="004B40B9"/>
    <w:rsid w:val="004B4410"/>
    <w:rsid w:val="004B65CA"/>
    <w:rsid w:val="004C5E06"/>
    <w:rsid w:val="004D1AA9"/>
    <w:rsid w:val="004D2C2E"/>
    <w:rsid w:val="004E0DC0"/>
    <w:rsid w:val="004E7F13"/>
    <w:rsid w:val="00514E63"/>
    <w:rsid w:val="00520245"/>
    <w:rsid w:val="00525830"/>
    <w:rsid w:val="00526206"/>
    <w:rsid w:val="0053261D"/>
    <w:rsid w:val="00533B65"/>
    <w:rsid w:val="00534469"/>
    <w:rsid w:val="00550843"/>
    <w:rsid w:val="00561480"/>
    <w:rsid w:val="00565B25"/>
    <w:rsid w:val="00577F9E"/>
    <w:rsid w:val="00584CB5"/>
    <w:rsid w:val="0059448C"/>
    <w:rsid w:val="005A1474"/>
    <w:rsid w:val="005A3418"/>
    <w:rsid w:val="005B49BD"/>
    <w:rsid w:val="005B58AE"/>
    <w:rsid w:val="005C2930"/>
    <w:rsid w:val="005C5FAD"/>
    <w:rsid w:val="005D0D58"/>
    <w:rsid w:val="005D2560"/>
    <w:rsid w:val="005E1C08"/>
    <w:rsid w:val="005F768A"/>
    <w:rsid w:val="00603459"/>
    <w:rsid w:val="00613EB8"/>
    <w:rsid w:val="00634BF4"/>
    <w:rsid w:val="006364EA"/>
    <w:rsid w:val="00650244"/>
    <w:rsid w:val="0065129F"/>
    <w:rsid w:val="0065212E"/>
    <w:rsid w:val="006745D9"/>
    <w:rsid w:val="00687910"/>
    <w:rsid w:val="00691294"/>
    <w:rsid w:val="006A227B"/>
    <w:rsid w:val="006A4AAC"/>
    <w:rsid w:val="006C19ED"/>
    <w:rsid w:val="006E776D"/>
    <w:rsid w:val="006F369C"/>
    <w:rsid w:val="00715455"/>
    <w:rsid w:val="0071556E"/>
    <w:rsid w:val="00716372"/>
    <w:rsid w:val="00736E4D"/>
    <w:rsid w:val="007409B7"/>
    <w:rsid w:val="00742719"/>
    <w:rsid w:val="007466A1"/>
    <w:rsid w:val="00753080"/>
    <w:rsid w:val="00766811"/>
    <w:rsid w:val="00780FC7"/>
    <w:rsid w:val="00782B92"/>
    <w:rsid w:val="0079393B"/>
    <w:rsid w:val="007A2CE8"/>
    <w:rsid w:val="007A4F4D"/>
    <w:rsid w:val="007B3012"/>
    <w:rsid w:val="007E04F8"/>
    <w:rsid w:val="007E2E7F"/>
    <w:rsid w:val="007E78BC"/>
    <w:rsid w:val="0080040D"/>
    <w:rsid w:val="00804CBC"/>
    <w:rsid w:val="008130F0"/>
    <w:rsid w:val="00823155"/>
    <w:rsid w:val="00843894"/>
    <w:rsid w:val="008635B1"/>
    <w:rsid w:val="00867517"/>
    <w:rsid w:val="00875B4B"/>
    <w:rsid w:val="008A4D39"/>
    <w:rsid w:val="008D0BA9"/>
    <w:rsid w:val="008E35AB"/>
    <w:rsid w:val="008E4AD5"/>
    <w:rsid w:val="00923BEA"/>
    <w:rsid w:val="00924370"/>
    <w:rsid w:val="00937868"/>
    <w:rsid w:val="00942F46"/>
    <w:rsid w:val="00952DFC"/>
    <w:rsid w:val="00953EF3"/>
    <w:rsid w:val="00954CC9"/>
    <w:rsid w:val="0096192C"/>
    <w:rsid w:val="00962D63"/>
    <w:rsid w:val="00963FBF"/>
    <w:rsid w:val="00973E5D"/>
    <w:rsid w:val="009741BE"/>
    <w:rsid w:val="00974AD0"/>
    <w:rsid w:val="00974F50"/>
    <w:rsid w:val="00983702"/>
    <w:rsid w:val="009854EA"/>
    <w:rsid w:val="00986818"/>
    <w:rsid w:val="00987FDC"/>
    <w:rsid w:val="009A134B"/>
    <w:rsid w:val="009C1687"/>
    <w:rsid w:val="009D0073"/>
    <w:rsid w:val="009D3DE2"/>
    <w:rsid w:val="009D667D"/>
    <w:rsid w:val="009D75BE"/>
    <w:rsid w:val="009E4749"/>
    <w:rsid w:val="009E4FAC"/>
    <w:rsid w:val="009E6F13"/>
    <w:rsid w:val="009F2D44"/>
    <w:rsid w:val="00A03C91"/>
    <w:rsid w:val="00A07EE0"/>
    <w:rsid w:val="00A31918"/>
    <w:rsid w:val="00A32C67"/>
    <w:rsid w:val="00A73612"/>
    <w:rsid w:val="00A819A3"/>
    <w:rsid w:val="00A84060"/>
    <w:rsid w:val="00A8596D"/>
    <w:rsid w:val="00A86E87"/>
    <w:rsid w:val="00A87219"/>
    <w:rsid w:val="00A8733E"/>
    <w:rsid w:val="00A87AD8"/>
    <w:rsid w:val="00A92AF2"/>
    <w:rsid w:val="00A943A5"/>
    <w:rsid w:val="00AA47C1"/>
    <w:rsid w:val="00AA6690"/>
    <w:rsid w:val="00AD7D57"/>
    <w:rsid w:val="00AF0B64"/>
    <w:rsid w:val="00AF273A"/>
    <w:rsid w:val="00B20415"/>
    <w:rsid w:val="00B23C33"/>
    <w:rsid w:val="00B376A4"/>
    <w:rsid w:val="00B56156"/>
    <w:rsid w:val="00B71D0A"/>
    <w:rsid w:val="00B76F4E"/>
    <w:rsid w:val="00BA6028"/>
    <w:rsid w:val="00BC1557"/>
    <w:rsid w:val="00BC1A49"/>
    <w:rsid w:val="00BC26CA"/>
    <w:rsid w:val="00BC696E"/>
    <w:rsid w:val="00BD547D"/>
    <w:rsid w:val="00BD5CA7"/>
    <w:rsid w:val="00BE1CF1"/>
    <w:rsid w:val="00C07048"/>
    <w:rsid w:val="00C134AC"/>
    <w:rsid w:val="00C30836"/>
    <w:rsid w:val="00C30A59"/>
    <w:rsid w:val="00C32B92"/>
    <w:rsid w:val="00C40032"/>
    <w:rsid w:val="00C41CE3"/>
    <w:rsid w:val="00C51FE3"/>
    <w:rsid w:val="00C60CC7"/>
    <w:rsid w:val="00C60EE4"/>
    <w:rsid w:val="00C8665C"/>
    <w:rsid w:val="00C9645A"/>
    <w:rsid w:val="00C97115"/>
    <w:rsid w:val="00CA4D9D"/>
    <w:rsid w:val="00CA63BF"/>
    <w:rsid w:val="00CC35E5"/>
    <w:rsid w:val="00CC52FD"/>
    <w:rsid w:val="00CD2B67"/>
    <w:rsid w:val="00CD4046"/>
    <w:rsid w:val="00CE02D0"/>
    <w:rsid w:val="00CF1B1D"/>
    <w:rsid w:val="00CF3AB7"/>
    <w:rsid w:val="00D02126"/>
    <w:rsid w:val="00D02CB1"/>
    <w:rsid w:val="00D0322C"/>
    <w:rsid w:val="00D0455F"/>
    <w:rsid w:val="00D15077"/>
    <w:rsid w:val="00D22F55"/>
    <w:rsid w:val="00D4082F"/>
    <w:rsid w:val="00D60FDE"/>
    <w:rsid w:val="00D63781"/>
    <w:rsid w:val="00D74387"/>
    <w:rsid w:val="00D7495F"/>
    <w:rsid w:val="00D92C3D"/>
    <w:rsid w:val="00DC4728"/>
    <w:rsid w:val="00DD5BD3"/>
    <w:rsid w:val="00DD5EA7"/>
    <w:rsid w:val="00DD5F68"/>
    <w:rsid w:val="00DD7CE7"/>
    <w:rsid w:val="00DE4A24"/>
    <w:rsid w:val="00E026B8"/>
    <w:rsid w:val="00E02B6E"/>
    <w:rsid w:val="00E0554A"/>
    <w:rsid w:val="00E117EE"/>
    <w:rsid w:val="00E16D7C"/>
    <w:rsid w:val="00E2065B"/>
    <w:rsid w:val="00E24BBA"/>
    <w:rsid w:val="00E45414"/>
    <w:rsid w:val="00E64CA2"/>
    <w:rsid w:val="00E71F4D"/>
    <w:rsid w:val="00E7503B"/>
    <w:rsid w:val="00E7505C"/>
    <w:rsid w:val="00E7613C"/>
    <w:rsid w:val="00E776B9"/>
    <w:rsid w:val="00E81A9D"/>
    <w:rsid w:val="00E84075"/>
    <w:rsid w:val="00EA7CA8"/>
    <w:rsid w:val="00EB7EF6"/>
    <w:rsid w:val="00ED663F"/>
    <w:rsid w:val="00EE563D"/>
    <w:rsid w:val="00EF5D6E"/>
    <w:rsid w:val="00F04259"/>
    <w:rsid w:val="00F15BB0"/>
    <w:rsid w:val="00F26CA2"/>
    <w:rsid w:val="00F539E9"/>
    <w:rsid w:val="00F66AE5"/>
    <w:rsid w:val="00F85B25"/>
    <w:rsid w:val="00F86D37"/>
    <w:rsid w:val="00F91041"/>
    <w:rsid w:val="00F927D4"/>
    <w:rsid w:val="00FA30B3"/>
    <w:rsid w:val="00FB496F"/>
    <w:rsid w:val="00FC004A"/>
    <w:rsid w:val="00FC385B"/>
    <w:rsid w:val="00FD3B56"/>
    <w:rsid w:val="00FE202E"/>
    <w:rsid w:val="00FF5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AA689A"/>
  <w15:docId w15:val="{ACC825DD-D3F8-4005-B6B8-548071D1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E4D"/>
    <w:pPr>
      <w:spacing w:before="100" w:beforeAutospacing="1" w:after="100" w:afterAutospacing="1"/>
    </w:pPr>
    <w:rPr>
      <w:rFonts w:ascii="Times New Roman" w:eastAsiaTheme="minorEastAsia" w:hAnsi="Times New Roman"/>
      <w:sz w:val="24"/>
      <w:szCs w:val="24"/>
      <w:lang w:eastAsia="en-GB"/>
    </w:rPr>
  </w:style>
  <w:style w:type="paragraph" w:styleId="BalloonText">
    <w:name w:val="Balloon Text"/>
    <w:basedOn w:val="Normal"/>
    <w:link w:val="BalloonTextChar"/>
    <w:uiPriority w:val="99"/>
    <w:semiHidden/>
    <w:unhideWhenUsed/>
    <w:rsid w:val="00736E4D"/>
    <w:rPr>
      <w:rFonts w:ascii="Tahoma" w:hAnsi="Tahoma" w:cs="Tahoma"/>
      <w:sz w:val="16"/>
      <w:szCs w:val="16"/>
    </w:rPr>
  </w:style>
  <w:style w:type="character" w:customStyle="1" w:styleId="BalloonTextChar">
    <w:name w:val="Balloon Text Char"/>
    <w:basedOn w:val="DefaultParagraphFont"/>
    <w:link w:val="BalloonText"/>
    <w:uiPriority w:val="99"/>
    <w:semiHidden/>
    <w:rsid w:val="00736E4D"/>
    <w:rPr>
      <w:rFonts w:ascii="Tahoma" w:hAnsi="Tahoma" w:cs="Tahoma"/>
      <w:sz w:val="16"/>
      <w:szCs w:val="16"/>
    </w:rPr>
  </w:style>
  <w:style w:type="table" w:styleId="TableGrid">
    <w:name w:val="Table Grid"/>
    <w:basedOn w:val="TableNormal"/>
    <w:uiPriority w:val="59"/>
    <w:rsid w:val="004B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B6E"/>
    <w:pPr>
      <w:tabs>
        <w:tab w:val="center" w:pos="4513"/>
        <w:tab w:val="right" w:pos="9026"/>
      </w:tabs>
    </w:pPr>
  </w:style>
  <w:style w:type="character" w:customStyle="1" w:styleId="HeaderChar">
    <w:name w:val="Header Char"/>
    <w:basedOn w:val="DefaultParagraphFont"/>
    <w:link w:val="Header"/>
    <w:uiPriority w:val="99"/>
    <w:rsid w:val="00E02B6E"/>
    <w:rPr>
      <w:rFonts w:ascii="Calibri" w:hAnsi="Calibri" w:cs="Times New Roman"/>
    </w:rPr>
  </w:style>
  <w:style w:type="paragraph" w:styleId="Footer">
    <w:name w:val="footer"/>
    <w:basedOn w:val="Normal"/>
    <w:link w:val="FooterChar"/>
    <w:uiPriority w:val="99"/>
    <w:unhideWhenUsed/>
    <w:rsid w:val="00E02B6E"/>
    <w:pPr>
      <w:tabs>
        <w:tab w:val="center" w:pos="4513"/>
        <w:tab w:val="right" w:pos="9026"/>
      </w:tabs>
    </w:pPr>
  </w:style>
  <w:style w:type="character" w:customStyle="1" w:styleId="FooterChar">
    <w:name w:val="Footer Char"/>
    <w:basedOn w:val="DefaultParagraphFont"/>
    <w:link w:val="Footer"/>
    <w:uiPriority w:val="99"/>
    <w:rsid w:val="00E02B6E"/>
    <w:rPr>
      <w:rFonts w:ascii="Calibri" w:hAnsi="Calibri" w:cs="Times New Roman"/>
    </w:rPr>
  </w:style>
  <w:style w:type="table" w:customStyle="1" w:styleId="TableGrid1">
    <w:name w:val="Table Grid1"/>
    <w:basedOn w:val="TableNormal"/>
    <w:next w:val="TableGrid"/>
    <w:uiPriority w:val="59"/>
    <w:rsid w:val="00384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0322C"/>
    <w:pPr>
      <w:spacing w:after="160" w:line="240" w:lineRule="exact"/>
    </w:pPr>
    <w:rPr>
      <w:rFonts w:ascii="Verdana" w:eastAsia="Times New Roman" w:hAnsi="Verdana" w:cs="Verdana"/>
      <w:sz w:val="24"/>
      <w:szCs w:val="24"/>
      <w:lang w:val="en-US"/>
    </w:rPr>
  </w:style>
  <w:style w:type="paragraph" w:customStyle="1" w:styleId="Char0">
    <w:name w:val="Char"/>
    <w:basedOn w:val="Normal"/>
    <w:rsid w:val="003E02C1"/>
    <w:pPr>
      <w:spacing w:after="160" w:line="240" w:lineRule="exact"/>
    </w:pPr>
    <w:rPr>
      <w:rFonts w:ascii="Verdana" w:eastAsia="Times New Roman" w:hAnsi="Verdana" w:cs="Verdana"/>
      <w:sz w:val="24"/>
      <w:szCs w:val="24"/>
      <w:lang w:val="en-US"/>
    </w:rPr>
  </w:style>
  <w:style w:type="paragraph" w:styleId="TOC1">
    <w:name w:val="toc 1"/>
    <w:basedOn w:val="Normal"/>
    <w:next w:val="Normal"/>
    <w:autoRedefine/>
    <w:uiPriority w:val="39"/>
    <w:unhideWhenUsed/>
    <w:rsid w:val="00C9645A"/>
    <w:pPr>
      <w:spacing w:after="100"/>
    </w:pPr>
  </w:style>
  <w:style w:type="character" w:styleId="Hyperlink">
    <w:name w:val="Hyperlink"/>
    <w:basedOn w:val="DefaultParagraphFont"/>
    <w:uiPriority w:val="99"/>
    <w:unhideWhenUsed/>
    <w:rsid w:val="00C9645A"/>
    <w:rPr>
      <w:color w:val="0000FF" w:themeColor="hyperlink"/>
      <w:u w:val="single"/>
    </w:rPr>
  </w:style>
  <w:style w:type="paragraph" w:styleId="ListParagraph">
    <w:name w:val="List Paragraph"/>
    <w:basedOn w:val="Normal"/>
    <w:uiPriority w:val="34"/>
    <w:qFormat/>
    <w:rsid w:val="00A84060"/>
    <w:pPr>
      <w:ind w:left="720"/>
      <w:contextualSpacing/>
    </w:pPr>
  </w:style>
  <w:style w:type="paragraph" w:customStyle="1" w:styleId="Default">
    <w:name w:val="Default"/>
    <w:rsid w:val="00BA6028"/>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F26CA2"/>
    <w:rPr>
      <w:color w:val="605E5C"/>
      <w:shd w:val="clear" w:color="auto" w:fill="E1DFDD"/>
    </w:rPr>
  </w:style>
  <w:style w:type="paragraph" w:styleId="Title">
    <w:name w:val="Title"/>
    <w:basedOn w:val="Normal"/>
    <w:next w:val="Normal"/>
    <w:link w:val="TitleChar"/>
    <w:qFormat/>
    <w:rsid w:val="00E7503B"/>
    <w:pPr>
      <w:spacing w:after="200" w:line="360" w:lineRule="atLeast"/>
      <w:contextualSpacing/>
    </w:pPr>
    <w:rPr>
      <w:rFonts w:ascii="Arial" w:eastAsiaTheme="majorEastAsia" w:hAnsi="Arial" w:cstheme="majorBidi"/>
      <w:color w:val="005EB8"/>
      <w:spacing w:val="-10"/>
      <w:kern w:val="28"/>
      <w:sz w:val="96"/>
      <w:szCs w:val="56"/>
    </w:rPr>
  </w:style>
  <w:style w:type="character" w:customStyle="1" w:styleId="TitleChar">
    <w:name w:val="Title Char"/>
    <w:basedOn w:val="DefaultParagraphFont"/>
    <w:link w:val="Title"/>
    <w:rsid w:val="00E7503B"/>
    <w:rPr>
      <w:rFonts w:ascii="Arial" w:eastAsiaTheme="majorEastAsia" w:hAnsi="Arial" w:cstheme="majorBidi"/>
      <w:color w:val="005EB8"/>
      <w:spacing w:val="-10"/>
      <w:kern w:val="28"/>
      <w:sz w:val="9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128535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83684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cslt.org/speech-and-language-therapy/clinical-information/dysphagia" TargetMode="External"/><Relationship Id="rId4" Type="http://schemas.openxmlformats.org/officeDocument/2006/relationships/settings" Target="settings.xml"/><Relationship Id="rId9" Type="http://schemas.openxmlformats.org/officeDocument/2006/relationships/hyperlink" Target="https://rcsl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ED9D-1140-4A69-B2E0-89CD9DEA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Somerset Partnership NHS Foundation Trust</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Gina (Somerset Partnership)</dc:creator>
  <cp:lastModifiedBy>Karen Dockings</cp:lastModifiedBy>
  <cp:revision>6</cp:revision>
  <cp:lastPrinted>2022-05-05T09:38:00Z</cp:lastPrinted>
  <dcterms:created xsi:type="dcterms:W3CDTF">2022-05-10T09:37:00Z</dcterms:created>
  <dcterms:modified xsi:type="dcterms:W3CDTF">2022-05-31T11:01:00Z</dcterms:modified>
</cp:coreProperties>
</file>