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97B7" w14:textId="77777777" w:rsidR="0010606F" w:rsidRDefault="001D6CF2" w:rsidP="0010606F">
      <w:pPr>
        <w:jc w:val="left"/>
        <w:rPr>
          <w:rFonts w:ascii="Arial" w:hAnsi="Arial" w:cs="Arial"/>
          <w:b/>
          <w:sz w:val="28"/>
          <w:szCs w:val="28"/>
        </w:rPr>
      </w:pPr>
      <w:r w:rsidRPr="001D6CF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04C13" wp14:editId="6B0359FA">
                <wp:simplePos x="0" y="0"/>
                <wp:positionH relativeFrom="column">
                  <wp:posOffset>5613920</wp:posOffset>
                </wp:positionH>
                <wp:positionV relativeFrom="paragraph">
                  <wp:posOffset>115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6F0A" w14:textId="77777777" w:rsidR="001D6CF2" w:rsidRDefault="001D6CF2">
                            <w:r>
                              <w:rPr>
                                <w:rFonts w:ascii="Arial" w:hAnsi="Arial" w:cs="Arial"/>
                                <w:noProof/>
                                <w:color w:val="365F91"/>
                                <w:lang w:eastAsia="en-GB"/>
                              </w:rPr>
                              <w:drawing>
                                <wp:inline distT="0" distB="0" distL="0" distR="0" wp14:anchorId="36651502" wp14:editId="5EE3B090">
                                  <wp:extent cx="1901825" cy="290830"/>
                                  <wp:effectExtent l="0" t="0" r="3175" b="0"/>
                                  <wp:docPr id="3" name="Picture 3" descr="Somerset Partnership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merset Partnership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D0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0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5SMpN8AAAAJAQAADwAAAGRycy9kb3ducmV2LnhtbEyPzU7D&#10;MBCE70i8g7VIXBB1YlEUQpyq/F24taRSj9t4mwTidRS7beDpcU9wHM1o5ptiMdleHGn0nWMN6SwB&#10;QVw703Gjofp4u81A+IBssHdMGr7Jw6K8vCgwN+7EKzquQyNiCfscNbQhDLmUvm7Jop+5gTh6ezda&#10;DFGOjTQjnmK57aVKkntpseO40OJAzy3VX+uD1fDzVL0sX29CuldhqzYr+17Vn6j19dW0fAQRaAp/&#10;YTjjR3QoI9POHdh40WvIsrs0RjXER2dbzecPIHYalEoVyLKQ/x+Uv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HlIyk3wAAAAkBAAAPAAAAAAAAAAAAAAAAAHsEAABkcnMvZG93bnJl&#10;di54bWxQSwUGAAAAAAQABADzAAAAhwUAAAAA&#10;" stroked="f">
                <v:textbox style="mso-fit-shape-to-text:t">
                  <w:txbxContent>
                    <w:p w14:paraId="58E36F0A" w14:textId="77777777" w:rsidR="001D6CF2" w:rsidRDefault="001D6CF2">
                      <w:r>
                        <w:rPr>
                          <w:rFonts w:ascii="Arial" w:hAnsi="Arial" w:cs="Arial"/>
                          <w:noProof/>
                          <w:color w:val="365F91"/>
                          <w:lang w:eastAsia="en-GB"/>
                        </w:rPr>
                        <w:drawing>
                          <wp:inline distT="0" distB="0" distL="0" distR="0" wp14:anchorId="36651502" wp14:editId="5EE3B090">
                            <wp:extent cx="1901825" cy="290830"/>
                            <wp:effectExtent l="0" t="0" r="3175" b="0"/>
                            <wp:docPr id="3" name="Picture 3" descr="Somerset Partnership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merset Partnership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29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06F" w:rsidRPr="00412FB3">
        <w:rPr>
          <w:rFonts w:ascii="Arial" w:hAnsi="Arial" w:cs="Arial"/>
          <w:b/>
          <w:sz w:val="28"/>
          <w:szCs w:val="28"/>
        </w:rPr>
        <w:t>Skin Tear Pathway</w:t>
      </w:r>
    </w:p>
    <w:p w14:paraId="27CB0FB7" w14:textId="77777777" w:rsidR="0010606F" w:rsidRDefault="0010606F" w:rsidP="0010606F">
      <w:pPr>
        <w:jc w:val="left"/>
        <w:rPr>
          <w:rFonts w:ascii="Arial" w:hAnsi="Arial" w:cs="Arial"/>
          <w:b/>
          <w:sz w:val="20"/>
          <w:szCs w:val="20"/>
        </w:rPr>
      </w:pPr>
    </w:p>
    <w:p w14:paraId="342696DB" w14:textId="77777777" w:rsidR="0010606F" w:rsidRDefault="0010606F" w:rsidP="0010606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Preventing Skin Tears</w:t>
      </w:r>
    </w:p>
    <w:p w14:paraId="47760BF3" w14:textId="77777777" w:rsidR="0010606F" w:rsidRDefault="0010606F" w:rsidP="0010606F">
      <w:pPr>
        <w:jc w:val="left"/>
        <w:rPr>
          <w:rFonts w:ascii="Arial" w:hAnsi="Arial" w:cs="Arial"/>
          <w:b/>
          <w:sz w:val="20"/>
          <w:szCs w:val="20"/>
        </w:rPr>
      </w:pPr>
    </w:p>
    <w:p w14:paraId="16B5528E" w14:textId="77777777" w:rsidR="00F0457F" w:rsidRDefault="00F0457F" w:rsidP="00F0457F">
      <w:pPr>
        <w:jc w:val="left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Skin tears are avoidable harm caused by trauma and mechanical forces including adhesives.  E</w:t>
      </w:r>
      <w:r w:rsidRPr="002D0EBD">
        <w:rPr>
          <w:rFonts w:ascii="Arial" w:hAnsi="Arial" w:cs="Arial"/>
          <w:color w:val="595959" w:themeColor="text1" w:themeTint="A6"/>
          <w:sz w:val="20"/>
          <w:szCs w:val="20"/>
        </w:rPr>
        <w:t>nsure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patients</w:t>
      </w:r>
      <w:r w:rsidRPr="002D0EBD">
        <w:rPr>
          <w:rFonts w:ascii="Arial" w:hAnsi="Arial" w:cs="Arial"/>
          <w:color w:val="595959" w:themeColor="text1" w:themeTint="A6"/>
          <w:sz w:val="20"/>
          <w:szCs w:val="20"/>
        </w:rPr>
        <w:t xml:space="preserve"> are protected from skin tears</w:t>
      </w:r>
      <w:r>
        <w:rPr>
          <w:rFonts w:ascii="Arial" w:hAnsi="Arial" w:cs="Arial"/>
          <w:color w:val="595959" w:themeColor="text1" w:themeTint="A6"/>
          <w:sz w:val="20"/>
          <w:szCs w:val="20"/>
        </w:rPr>
        <w:t>, inform them of risks and help them make decisions to protect their skin.  A number of c</w:t>
      </w:r>
      <w:r w:rsidRPr="002D0EBD">
        <w:rPr>
          <w:rFonts w:ascii="Arial" w:hAnsi="Arial" w:cs="Arial"/>
          <w:color w:val="595959" w:themeColor="text1" w:themeTint="A6"/>
          <w:sz w:val="20"/>
          <w:szCs w:val="20"/>
        </w:rPr>
        <w:t xml:space="preserve">o-morbidities impact upon skin integrity </w:t>
      </w:r>
      <w:proofErr w:type="gramStart"/>
      <w:r w:rsidRPr="002D0EBD">
        <w:rPr>
          <w:rFonts w:ascii="Arial" w:hAnsi="Arial" w:cs="Arial"/>
          <w:color w:val="595959" w:themeColor="text1" w:themeTint="A6"/>
          <w:sz w:val="20"/>
          <w:szCs w:val="20"/>
        </w:rPr>
        <w:t>inclu</w:t>
      </w:r>
      <w:r w:rsidR="002C1C8C">
        <w:rPr>
          <w:rFonts w:ascii="Arial" w:hAnsi="Arial" w:cs="Arial"/>
          <w:color w:val="595959" w:themeColor="text1" w:themeTint="A6"/>
          <w:sz w:val="20"/>
          <w:szCs w:val="20"/>
        </w:rPr>
        <w:t>ding</w:t>
      </w:r>
      <w:r w:rsidRPr="002D0EBD">
        <w:rPr>
          <w:rFonts w:ascii="Arial" w:hAnsi="Arial" w:cs="Arial"/>
          <w:color w:val="595959" w:themeColor="text1" w:themeTint="A6"/>
          <w:sz w:val="20"/>
          <w:szCs w:val="20"/>
        </w:rPr>
        <w:t>:</w:t>
      </w:r>
      <w:proofErr w:type="gramEnd"/>
      <w:r w:rsidRPr="002D0EBD">
        <w:rPr>
          <w:rFonts w:ascii="Arial" w:hAnsi="Arial" w:cs="Arial"/>
          <w:color w:val="595959" w:themeColor="text1" w:themeTint="A6"/>
          <w:sz w:val="20"/>
          <w:szCs w:val="20"/>
        </w:rPr>
        <w:t xml:space="preserve"> heart disease, renal failure and CVE. Long term steroid use and aging also cause skin thinning</w:t>
      </w:r>
    </w:p>
    <w:p w14:paraId="452CCCEE" w14:textId="77777777" w:rsidR="00F0457F" w:rsidRDefault="00F0457F" w:rsidP="0010606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20"/>
        <w:gridCol w:w="6421"/>
      </w:tblGrid>
      <w:tr w:rsidR="00D003F4" w:rsidRPr="00B9368D" w14:paraId="454984F5" w14:textId="77777777" w:rsidTr="00F0457F">
        <w:tc>
          <w:tcPr>
            <w:tcW w:w="15388" w:type="dxa"/>
            <w:gridSpan w:val="3"/>
            <w:shd w:val="clear" w:color="auto" w:fill="D9E2F3" w:themeFill="accent1" w:themeFillTint="33"/>
          </w:tcPr>
          <w:p w14:paraId="62BE9AE7" w14:textId="77777777" w:rsidR="00D003F4" w:rsidRPr="00B9368D" w:rsidRDefault="00D003F4" w:rsidP="00D00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68D">
              <w:rPr>
                <w:rFonts w:ascii="Arial" w:hAnsi="Arial" w:cs="Arial"/>
                <w:b/>
                <w:sz w:val="24"/>
                <w:szCs w:val="24"/>
              </w:rPr>
              <w:t>Preventing Skin Tears</w:t>
            </w:r>
          </w:p>
        </w:tc>
      </w:tr>
      <w:tr w:rsidR="00F0457F" w14:paraId="3E0C789F" w14:textId="77777777" w:rsidTr="00690016">
        <w:tc>
          <w:tcPr>
            <w:tcW w:w="2547" w:type="dxa"/>
            <w:shd w:val="clear" w:color="auto" w:fill="D9E2F3" w:themeFill="accent1" w:themeFillTint="33"/>
          </w:tcPr>
          <w:p w14:paraId="307E7A34" w14:textId="77777777" w:rsidR="00F0457F" w:rsidRPr="00B9368D" w:rsidRDefault="00F0457F" w:rsidP="0010606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9368D">
              <w:rPr>
                <w:rFonts w:ascii="Arial" w:hAnsi="Arial" w:cs="Arial"/>
                <w:b/>
                <w:sz w:val="24"/>
                <w:szCs w:val="24"/>
              </w:rPr>
              <w:t>Risk Factors</w:t>
            </w:r>
          </w:p>
        </w:tc>
        <w:tc>
          <w:tcPr>
            <w:tcW w:w="6420" w:type="dxa"/>
            <w:shd w:val="clear" w:color="auto" w:fill="B4C6E7" w:themeFill="accent1" w:themeFillTint="66"/>
          </w:tcPr>
          <w:p w14:paraId="7F22F680" w14:textId="77777777" w:rsidR="00F0457F" w:rsidRPr="00D44698" w:rsidRDefault="00F0457F" w:rsidP="00D003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Patients are at risk if they have:</w:t>
            </w:r>
          </w:p>
          <w:p w14:paraId="7B5795FD" w14:textId="77777777" w:rsidR="00F0457F" w:rsidRPr="00D44698" w:rsidRDefault="00F0457F" w:rsidP="00D003F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Reduced cognitive or sensory perception</w:t>
            </w:r>
          </w:p>
          <w:p w14:paraId="6A221719" w14:textId="77777777" w:rsidR="00F0457F" w:rsidRPr="00D44698" w:rsidRDefault="00F0457F" w:rsidP="00D003F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Medications that thin the skin – steroids</w:t>
            </w:r>
          </w:p>
          <w:p w14:paraId="38DD1497" w14:textId="77777777" w:rsidR="00F0457F" w:rsidRPr="00D44698" w:rsidRDefault="00F0457F" w:rsidP="00D003F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 xml:space="preserve">Reduced mobility </w:t>
            </w:r>
          </w:p>
          <w:p w14:paraId="146BBE06" w14:textId="77777777" w:rsidR="00F0457F" w:rsidRPr="00D44698" w:rsidRDefault="00F0457F" w:rsidP="00D003F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Visual impairment</w:t>
            </w:r>
          </w:p>
          <w:p w14:paraId="0465A581" w14:textId="77777777" w:rsidR="00F0457F" w:rsidRPr="00D44698" w:rsidRDefault="00F0457F" w:rsidP="00D003F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Friction and shear</w:t>
            </w:r>
          </w:p>
          <w:p w14:paraId="4A8AF79E" w14:textId="77777777" w:rsidR="00F0457F" w:rsidRPr="00D44698" w:rsidRDefault="00F0457F" w:rsidP="00F0457F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Equipment for transferring</w:t>
            </w:r>
          </w:p>
          <w:p w14:paraId="504A3340" w14:textId="77777777" w:rsidR="00F0457F" w:rsidRPr="00D44698" w:rsidRDefault="00F0457F" w:rsidP="00F0457F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 xml:space="preserve">Dry, oedematous or friable skin </w:t>
            </w:r>
          </w:p>
          <w:p w14:paraId="499D09B2" w14:textId="77777777" w:rsidR="00F0457F" w:rsidRPr="00D44698" w:rsidRDefault="00F0457F" w:rsidP="00F0457F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 xml:space="preserve">Ecchymosis – skin stained by leakage of blood into </w:t>
            </w:r>
            <w:proofErr w:type="spellStart"/>
            <w:proofErr w:type="gramStart"/>
            <w:r w:rsidRPr="00D44698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proofErr w:type="gramEnd"/>
            <w:r w:rsidRPr="00D44698">
              <w:rPr>
                <w:rFonts w:ascii="Arial" w:hAnsi="Arial" w:cs="Arial"/>
                <w:sz w:val="20"/>
                <w:szCs w:val="20"/>
              </w:rPr>
              <w:t xml:space="preserve"> layers</w:t>
            </w:r>
          </w:p>
          <w:p w14:paraId="2889DDA3" w14:textId="77777777" w:rsidR="00F0457F" w:rsidRPr="00D44698" w:rsidRDefault="00F0457F" w:rsidP="00F0457F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Previous history of skin tears</w:t>
            </w:r>
          </w:p>
          <w:p w14:paraId="4C08863D" w14:textId="77777777" w:rsidR="00F0457F" w:rsidRPr="00D003F4" w:rsidRDefault="00F0457F" w:rsidP="00F0457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44698">
              <w:rPr>
                <w:rFonts w:ascii="Arial" w:hAnsi="Arial" w:cs="Arial"/>
                <w:sz w:val="20"/>
                <w:szCs w:val="20"/>
              </w:rPr>
              <w:t>Adhesives on at risk skin</w:t>
            </w:r>
          </w:p>
        </w:tc>
        <w:tc>
          <w:tcPr>
            <w:tcW w:w="6421" w:type="dxa"/>
            <w:shd w:val="clear" w:color="auto" w:fill="B4C6E7" w:themeFill="accent1" w:themeFillTint="66"/>
          </w:tcPr>
          <w:p w14:paraId="7E12ABB2" w14:textId="77777777" w:rsidR="00F0457F" w:rsidRPr="00094E33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 xml:space="preserve">Position furniture, equipment and rugs carefully </w:t>
            </w:r>
          </w:p>
          <w:p w14:paraId="2D51CE31" w14:textId="77777777" w:rsidR="00F0457F" w:rsidRPr="00094E33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>Ensure lighting is adequate</w:t>
            </w:r>
          </w:p>
          <w:p w14:paraId="365FF176" w14:textId="77777777" w:rsidR="00F0457F" w:rsidRPr="00094E33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 xml:space="preserve">Cover sharp edges of beds, chairs and equipment </w:t>
            </w:r>
          </w:p>
          <w:p w14:paraId="19BF1688" w14:textId="77777777" w:rsidR="00F0457F" w:rsidRPr="00094E33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>When using manual handling equipment pay close attention to the skin</w:t>
            </w:r>
          </w:p>
          <w:p w14:paraId="52D03101" w14:textId="77777777" w:rsidR="00F0457F" w:rsidRPr="00462986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>Always use a slide sheet for repositioning on the 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ensure patients do not drag their skin when moving</w:t>
            </w:r>
          </w:p>
          <w:p w14:paraId="17F4C5CA" w14:textId="77777777" w:rsidR="00F0457F" w:rsidRPr="00094E33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>Use protective clothing or tubular bandages on at risk limbs</w:t>
            </w:r>
          </w:p>
          <w:p w14:paraId="2454825E" w14:textId="77777777" w:rsidR="00F0457F" w:rsidRPr="00094E33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>Avoid adhesive dressings</w:t>
            </w:r>
          </w:p>
          <w:p w14:paraId="591A1B86" w14:textId="77777777" w:rsidR="00F0457F" w:rsidRPr="00D003F4" w:rsidRDefault="00F0457F" w:rsidP="00F04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E33">
              <w:rPr>
                <w:rFonts w:ascii="Arial" w:eastAsia="Times New Roman" w:hAnsi="Arial" w:cs="Arial"/>
                <w:sz w:val="20"/>
                <w:szCs w:val="20"/>
              </w:rPr>
              <w:t>Take care with cannula positioning</w:t>
            </w:r>
          </w:p>
          <w:p w14:paraId="599ED98A" w14:textId="77777777" w:rsidR="00F0457F" w:rsidRPr="00F0457F" w:rsidRDefault="00F0457F" w:rsidP="00F0457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03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Use protective rehydrating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D003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emollients</w:t>
            </w:r>
          </w:p>
        </w:tc>
      </w:tr>
    </w:tbl>
    <w:p w14:paraId="7F7C3E67" w14:textId="77777777" w:rsidR="00F0457F" w:rsidRDefault="00F0457F" w:rsidP="0010606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  <w:gridCol w:w="6462"/>
      </w:tblGrid>
      <w:tr w:rsidR="00F0457F" w:rsidRPr="00E77AD3" w14:paraId="5DFE9431" w14:textId="77777777" w:rsidTr="00D458A8">
        <w:tc>
          <w:tcPr>
            <w:tcW w:w="2547" w:type="dxa"/>
            <w:vMerge w:val="restart"/>
            <w:shd w:val="clear" w:color="auto" w:fill="00B0F0"/>
          </w:tcPr>
          <w:p w14:paraId="5C730308" w14:textId="77777777" w:rsidR="00F0457F" w:rsidRPr="00E77AD3" w:rsidRDefault="00F0457F" w:rsidP="00BB2B5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77AD3">
              <w:rPr>
                <w:rFonts w:ascii="Arial" w:hAnsi="Arial" w:cs="Arial"/>
                <w:b/>
                <w:sz w:val="24"/>
                <w:szCs w:val="24"/>
              </w:rPr>
              <w:t>Nursing Care Plan</w:t>
            </w:r>
          </w:p>
          <w:p w14:paraId="43482F6F" w14:textId="77777777" w:rsidR="00F0457F" w:rsidRPr="00E77AD3" w:rsidRDefault="00F0457F" w:rsidP="00BB2B5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5093E2" w14:textId="77777777" w:rsidR="00F0457F" w:rsidRPr="00E77AD3" w:rsidRDefault="00F0457F" w:rsidP="00BB2B5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77AD3">
              <w:rPr>
                <w:rFonts w:ascii="Arial" w:hAnsi="Arial" w:cs="Arial"/>
                <w:b/>
                <w:sz w:val="20"/>
                <w:szCs w:val="20"/>
              </w:rPr>
              <w:t xml:space="preserve">All skin tears should be </w:t>
            </w:r>
            <w:proofErr w:type="gramStart"/>
            <w:r w:rsidRPr="00E77AD3">
              <w:rPr>
                <w:rFonts w:ascii="Arial" w:hAnsi="Arial" w:cs="Arial"/>
                <w:b/>
                <w:sz w:val="20"/>
                <w:szCs w:val="20"/>
              </w:rPr>
              <w:t>reported</w:t>
            </w:r>
            <w:proofErr w:type="gramEnd"/>
            <w:r w:rsidRPr="00E77AD3">
              <w:rPr>
                <w:rFonts w:ascii="Arial" w:hAnsi="Arial" w:cs="Arial"/>
                <w:b/>
                <w:sz w:val="20"/>
                <w:szCs w:val="20"/>
              </w:rPr>
              <w:t xml:space="preserve"> and documentation completed</w:t>
            </w:r>
          </w:p>
        </w:tc>
        <w:tc>
          <w:tcPr>
            <w:tcW w:w="6379" w:type="dxa"/>
            <w:shd w:val="clear" w:color="auto" w:fill="00B0F0"/>
          </w:tcPr>
          <w:p w14:paraId="054627C9" w14:textId="77777777" w:rsidR="00F0457F" w:rsidRPr="00B9368D" w:rsidRDefault="00F0457F" w:rsidP="00BB2B5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9368D">
              <w:rPr>
                <w:rFonts w:ascii="Arial" w:hAnsi="Arial" w:cs="Arial"/>
                <w:b/>
                <w:sz w:val="24"/>
                <w:szCs w:val="24"/>
              </w:rPr>
              <w:t>Holistic Assessment</w:t>
            </w:r>
          </w:p>
        </w:tc>
        <w:tc>
          <w:tcPr>
            <w:tcW w:w="6462" w:type="dxa"/>
            <w:shd w:val="clear" w:color="auto" w:fill="00B0F0"/>
          </w:tcPr>
          <w:p w14:paraId="6F7105F6" w14:textId="77777777" w:rsidR="00F0457F" w:rsidRPr="00B9368D" w:rsidRDefault="00F0457F" w:rsidP="00BB2B5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9368D">
              <w:rPr>
                <w:rFonts w:ascii="Arial" w:hAnsi="Arial" w:cs="Arial"/>
                <w:b/>
                <w:sz w:val="24"/>
                <w:szCs w:val="24"/>
              </w:rPr>
              <w:t xml:space="preserve">Skin Tear Assessment </w:t>
            </w:r>
            <w:r w:rsidR="00690016" w:rsidRPr="00B9368D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B9368D">
              <w:rPr>
                <w:rFonts w:ascii="Arial" w:hAnsi="Arial" w:cs="Arial"/>
                <w:b/>
                <w:sz w:val="24"/>
                <w:szCs w:val="24"/>
              </w:rPr>
              <w:t>Wound Assessment</w:t>
            </w:r>
          </w:p>
        </w:tc>
      </w:tr>
      <w:tr w:rsidR="00F0457F" w:rsidRPr="00E77AD3" w14:paraId="1B5B2010" w14:textId="77777777" w:rsidTr="00D458A8">
        <w:tc>
          <w:tcPr>
            <w:tcW w:w="2547" w:type="dxa"/>
            <w:vMerge/>
            <w:shd w:val="clear" w:color="auto" w:fill="00B0F0"/>
          </w:tcPr>
          <w:p w14:paraId="0A881650" w14:textId="77777777" w:rsidR="00F0457F" w:rsidRPr="00E77AD3" w:rsidRDefault="00F0457F" w:rsidP="00BB2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8EAADB" w:themeFill="accent1" w:themeFillTint="99"/>
          </w:tcPr>
          <w:p w14:paraId="21CCADDE" w14:textId="77777777" w:rsidR="00F0457F" w:rsidRPr="00690016" w:rsidRDefault="00F0457F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Assess the environment for possible causes of skin tears</w:t>
            </w:r>
          </w:p>
          <w:p w14:paraId="4436D6F8" w14:textId="77777777" w:rsidR="00F0457F" w:rsidRPr="00690016" w:rsidRDefault="00F0457F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Encourage the patient to wear good fitting shoes and keep nails short</w:t>
            </w:r>
          </w:p>
          <w:p w14:paraId="06E1C037" w14:textId="77777777" w:rsidR="00F0457F" w:rsidRDefault="00690016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u</w:t>
            </w:r>
            <w:r w:rsidR="00F0457F" w:rsidRPr="00690016">
              <w:rPr>
                <w:rFonts w:ascii="Arial" w:hAnsi="Arial" w:cs="Arial"/>
                <w:sz w:val="20"/>
                <w:szCs w:val="20"/>
              </w:rPr>
              <w:t>nderlying pathology</w:t>
            </w:r>
          </w:p>
          <w:p w14:paraId="1D97A279" w14:textId="77777777" w:rsidR="00690016" w:rsidRPr="00690016" w:rsidRDefault="00690016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and encourage mobility</w:t>
            </w:r>
          </w:p>
          <w:p w14:paraId="5D40C10A" w14:textId="77777777" w:rsidR="00F0457F" w:rsidRPr="00690016" w:rsidRDefault="00690016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f</w:t>
            </w:r>
            <w:r w:rsidR="00F0457F" w:rsidRPr="00690016">
              <w:rPr>
                <w:rFonts w:ascii="Arial" w:hAnsi="Arial" w:cs="Arial"/>
                <w:sz w:val="20"/>
                <w:szCs w:val="20"/>
              </w:rPr>
              <w:t>actors delaying healing</w:t>
            </w:r>
          </w:p>
          <w:p w14:paraId="183A889B" w14:textId="77777777" w:rsidR="00F0457F" w:rsidRPr="00690016" w:rsidRDefault="00F0457F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14:paraId="18977256" w14:textId="77777777" w:rsidR="00F0457F" w:rsidRPr="00690016" w:rsidRDefault="00F0457F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Medications</w:t>
            </w:r>
          </w:p>
          <w:p w14:paraId="050A006C" w14:textId="77777777" w:rsidR="00F0457F" w:rsidRPr="00690016" w:rsidRDefault="00F0457F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Factors contributing to skin tear development</w:t>
            </w:r>
          </w:p>
          <w:p w14:paraId="6BBEE508" w14:textId="77777777" w:rsidR="00690016" w:rsidRPr="00690016" w:rsidRDefault="00690016" w:rsidP="006900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Factors potentially contributing to delayed healing</w:t>
            </w:r>
          </w:p>
        </w:tc>
        <w:tc>
          <w:tcPr>
            <w:tcW w:w="6462" w:type="dxa"/>
            <w:shd w:val="clear" w:color="auto" w:fill="8EAADB" w:themeFill="accent1" w:themeFillTint="99"/>
          </w:tcPr>
          <w:p w14:paraId="15654DC8" w14:textId="77777777" w:rsidR="00690016" w:rsidRDefault="00690016" w:rsidP="00BB2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 skin tear occurs assess:</w:t>
            </w:r>
          </w:p>
          <w:p w14:paraId="6A65BE75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Cause of skin tear</w:t>
            </w:r>
          </w:p>
          <w:p w14:paraId="5C486F4F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Position of skin tear</w:t>
            </w:r>
          </w:p>
          <w:p w14:paraId="61E31D9D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Date and time the skin tear occurred,</w:t>
            </w:r>
          </w:p>
          <w:p w14:paraId="60F3E9CC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Date and time of assessment</w:t>
            </w:r>
          </w:p>
          <w:p w14:paraId="085D282E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Dimension of the skin tear</w:t>
            </w:r>
          </w:p>
          <w:p w14:paraId="78DB23DB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Category of skin tear</w:t>
            </w:r>
          </w:p>
          <w:p w14:paraId="09FB7CC7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Appearance of the wound bed</w:t>
            </w:r>
          </w:p>
          <w:p w14:paraId="0FEE8748" w14:textId="77777777" w:rsidR="00F0457F" w:rsidRPr="00690016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Presence/absence of haematoma or necrosis</w:t>
            </w:r>
          </w:p>
          <w:p w14:paraId="4CC89658" w14:textId="77777777" w:rsidR="00F0457F" w:rsidRDefault="00F0457F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016">
              <w:rPr>
                <w:rFonts w:ascii="Arial" w:hAnsi="Arial" w:cs="Arial"/>
                <w:sz w:val="20"/>
                <w:szCs w:val="20"/>
              </w:rPr>
              <w:t>Sensitivity to dressings</w:t>
            </w:r>
          </w:p>
          <w:p w14:paraId="463C88DB" w14:textId="77777777" w:rsidR="00690016" w:rsidRPr="00690016" w:rsidRDefault="00690016" w:rsidP="006900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to heal within 21 days</w:t>
            </w:r>
          </w:p>
        </w:tc>
      </w:tr>
    </w:tbl>
    <w:p w14:paraId="11E9CBE0" w14:textId="77777777" w:rsidR="0010606F" w:rsidRDefault="0010606F" w:rsidP="0010606F">
      <w:pPr>
        <w:rPr>
          <w:rFonts w:ascii="Arial" w:hAnsi="Arial" w:cs="Arial"/>
          <w:b/>
          <w:sz w:val="20"/>
          <w:szCs w:val="20"/>
        </w:rPr>
      </w:pPr>
    </w:p>
    <w:p w14:paraId="513EFD7B" w14:textId="77777777" w:rsidR="0010606F" w:rsidRPr="00A115A6" w:rsidRDefault="0025000A" w:rsidP="006468CB">
      <w:pPr>
        <w:jc w:val="left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 w:val="16"/>
          <w:szCs w:val="16"/>
        </w:rPr>
        <w:t xml:space="preserve">Developed by Julie Bateman, Rachael Vincent and Kerry Grimshaw.  Printed and supported by HARTMANN.  </w:t>
      </w:r>
      <w:r w:rsidR="0010606F" w:rsidRPr="00462986">
        <w:rPr>
          <w:rFonts w:ascii="Arial Narrow" w:eastAsia="Times New Roman" w:hAnsi="Arial Narrow" w:cs="Arial Narrow"/>
          <w:sz w:val="16"/>
          <w:szCs w:val="16"/>
        </w:rPr>
        <w:t xml:space="preserve">References: Stephen-Haynes J Carville K (2011) Skin tears made easy </w:t>
      </w:r>
      <w:r w:rsidR="0010606F" w:rsidRPr="00462986">
        <w:rPr>
          <w:rFonts w:ascii="Arial Narrow" w:eastAsia="Times New Roman" w:hAnsi="Arial Narrow" w:cs="Arial Narrow"/>
          <w:sz w:val="16"/>
          <w:szCs w:val="16"/>
          <w:u w:val="single"/>
        </w:rPr>
        <w:t>Wounds International</w:t>
      </w:r>
      <w:r w:rsidR="0010606F" w:rsidRPr="00462986">
        <w:rPr>
          <w:rFonts w:ascii="Arial Narrow" w:eastAsia="Times New Roman" w:hAnsi="Arial Narrow" w:cs="Arial Narrow"/>
          <w:sz w:val="16"/>
          <w:szCs w:val="16"/>
        </w:rPr>
        <w:t xml:space="preserve"> Vol 2 No 4; All Wales Tissue Viability Forum (2011) </w:t>
      </w:r>
      <w:r w:rsidR="0010606F" w:rsidRPr="00462986">
        <w:rPr>
          <w:rFonts w:ascii="Arial Narrow" w:eastAsia="Times New Roman" w:hAnsi="Arial Narrow" w:cs="Arial Narrow"/>
          <w:sz w:val="16"/>
          <w:szCs w:val="16"/>
          <w:u w:val="single"/>
        </w:rPr>
        <w:t>Best Practice Statement: The Assessment and Management of Skin Tears</w:t>
      </w:r>
      <w:r w:rsidR="0010606F" w:rsidRPr="00462986">
        <w:rPr>
          <w:rFonts w:ascii="Arial Narrow" w:eastAsia="Times New Roman" w:hAnsi="Arial Narrow" w:cs="Arial Narrow"/>
          <w:sz w:val="16"/>
          <w:szCs w:val="16"/>
        </w:rPr>
        <w:t xml:space="preserve"> MA Healthcare Ltd: London; Bianchi J (2012) Preventing, assessing and managing skin tears </w:t>
      </w:r>
      <w:r w:rsidR="0010606F" w:rsidRPr="00462986">
        <w:rPr>
          <w:rFonts w:ascii="Arial Narrow" w:eastAsia="Times New Roman" w:hAnsi="Arial Narrow" w:cs="Arial Narrow"/>
          <w:sz w:val="16"/>
          <w:szCs w:val="16"/>
          <w:u w:val="single"/>
        </w:rPr>
        <w:t>Nursing Times</w:t>
      </w:r>
      <w:r w:rsidR="0010606F" w:rsidRPr="00462986">
        <w:rPr>
          <w:rFonts w:ascii="Arial Narrow" w:eastAsia="Times New Roman" w:hAnsi="Arial Narrow" w:cs="Arial Narrow"/>
          <w:sz w:val="16"/>
          <w:szCs w:val="16"/>
        </w:rPr>
        <w:t xml:space="preserve"> Vol 108 no 13 pp 12 – 16; Beldon P (2011) Haematoma: assessment, treatment and management </w:t>
      </w:r>
      <w:r w:rsidR="0010606F" w:rsidRPr="00462986">
        <w:rPr>
          <w:rFonts w:ascii="Arial Narrow" w:eastAsia="Times New Roman" w:hAnsi="Arial Narrow" w:cs="Arial Narrow"/>
          <w:sz w:val="16"/>
          <w:szCs w:val="16"/>
          <w:u w:val="single"/>
        </w:rPr>
        <w:t>Wound Essentials</w:t>
      </w:r>
      <w:r w:rsidR="0010606F" w:rsidRPr="00462986">
        <w:rPr>
          <w:rFonts w:ascii="Arial Narrow" w:eastAsia="Times New Roman" w:hAnsi="Arial Narrow" w:cs="Arial Narrow"/>
          <w:sz w:val="16"/>
          <w:szCs w:val="16"/>
        </w:rPr>
        <w:t xml:space="preserve"> Vol 6 pp 36 – 39; </w:t>
      </w:r>
      <w:proofErr w:type="spellStart"/>
      <w:r w:rsidR="0010606F" w:rsidRPr="00462986">
        <w:rPr>
          <w:rFonts w:ascii="Arial Narrow" w:eastAsia="Times New Roman" w:hAnsi="Arial Narrow" w:cs="Arial Narrow"/>
          <w:sz w:val="16"/>
          <w:szCs w:val="16"/>
        </w:rPr>
        <w:t>Megson</w:t>
      </w:r>
      <w:proofErr w:type="spellEnd"/>
      <w:r w:rsidR="0010606F" w:rsidRPr="00462986">
        <w:rPr>
          <w:rFonts w:ascii="Arial Narrow" w:eastAsia="Times New Roman" w:hAnsi="Arial Narrow" w:cs="Arial Narrow"/>
          <w:sz w:val="16"/>
          <w:szCs w:val="16"/>
        </w:rPr>
        <w:t xml:space="preserve"> M (2011) Traumatic subcutaneous haematoma causing skin necrosis </w:t>
      </w:r>
      <w:r w:rsidR="0010606F" w:rsidRPr="00462986">
        <w:rPr>
          <w:rFonts w:ascii="Arial Narrow" w:eastAsia="Times New Roman" w:hAnsi="Arial Narrow" w:cs="Arial Narrow"/>
          <w:sz w:val="16"/>
          <w:szCs w:val="16"/>
          <w:u w:val="single"/>
        </w:rPr>
        <w:t>BMJ Case Reports</w:t>
      </w:r>
      <w:r w:rsidR="00A115A6" w:rsidRPr="00A115A6">
        <w:rPr>
          <w:rFonts w:ascii="Arial Narrow" w:eastAsia="Times New Roman" w:hAnsi="Arial Narrow" w:cs="Arial Narrow"/>
          <w:sz w:val="16"/>
          <w:szCs w:val="16"/>
        </w:rPr>
        <w:t xml:space="preserve"> Wounds</w:t>
      </w:r>
      <w:r w:rsidR="00A115A6">
        <w:rPr>
          <w:rFonts w:ascii="Arial Narrow" w:eastAsia="Times New Roman" w:hAnsi="Arial Narrow" w:cs="Arial Narrow"/>
          <w:sz w:val="16"/>
          <w:szCs w:val="16"/>
        </w:rPr>
        <w:t xml:space="preserve"> International (2018) Best Practice recommendations for the prevention and management of skin tears in aged skin </w:t>
      </w:r>
      <w:r w:rsidR="00A115A6">
        <w:rPr>
          <w:rFonts w:ascii="Arial Narrow" w:eastAsia="Times New Roman" w:hAnsi="Arial Narrow" w:cs="Arial Narrow"/>
          <w:sz w:val="16"/>
          <w:szCs w:val="16"/>
          <w:u w:val="single"/>
        </w:rPr>
        <w:t>Best Practice Document 18</w:t>
      </w:r>
      <w:r w:rsidR="00A115A6">
        <w:rPr>
          <w:rFonts w:ascii="Arial Narrow" w:eastAsia="Times New Roman" w:hAnsi="Arial Narrow" w:cs="Arial Narrow"/>
          <w:sz w:val="16"/>
          <w:szCs w:val="16"/>
        </w:rPr>
        <w:t xml:space="preserve"> </w:t>
      </w:r>
      <w:hyperlink r:id="rId9" w:history="1">
        <w:r w:rsidR="00A115A6" w:rsidRPr="00416E49">
          <w:rPr>
            <w:rStyle w:val="Hyperlink"/>
            <w:rFonts w:ascii="Arial Narrow" w:eastAsia="Times New Roman" w:hAnsi="Arial Narrow" w:cs="Arial Narrow"/>
            <w:sz w:val="16"/>
            <w:szCs w:val="16"/>
          </w:rPr>
          <w:t>www.woundsinternational.com</w:t>
        </w:r>
      </w:hyperlink>
      <w:r w:rsidR="00A115A6">
        <w:rPr>
          <w:rFonts w:ascii="Arial Narrow" w:eastAsia="Times New Roman" w:hAnsi="Arial Narrow" w:cs="Arial Narrow"/>
          <w:sz w:val="16"/>
          <w:szCs w:val="16"/>
        </w:rPr>
        <w:t xml:space="preserve"> </w:t>
      </w:r>
      <w:r w:rsidR="006468CB">
        <w:rPr>
          <w:rFonts w:ascii="Arial Narrow" w:eastAsia="Times New Roman" w:hAnsi="Arial Narrow" w:cs="Arial Narrow"/>
          <w:sz w:val="16"/>
          <w:szCs w:val="16"/>
        </w:rPr>
        <w:t xml:space="preserve">  With thanks to J Steven-Haynes for consent to use images. </w:t>
      </w:r>
    </w:p>
    <w:p w14:paraId="788F3EDB" w14:textId="77777777" w:rsidR="001D1007" w:rsidRDefault="001D1007" w:rsidP="00690016">
      <w:pPr>
        <w:jc w:val="both"/>
        <w:rPr>
          <w:rFonts w:ascii="Arial" w:hAnsi="Arial" w:cs="Arial"/>
          <w:b/>
          <w:sz w:val="20"/>
          <w:szCs w:val="20"/>
        </w:rPr>
      </w:pPr>
    </w:p>
    <w:p w14:paraId="2A6B5C55" w14:textId="77777777" w:rsidR="001D1007" w:rsidRDefault="001D1007" w:rsidP="00690016">
      <w:pPr>
        <w:jc w:val="both"/>
        <w:rPr>
          <w:rFonts w:ascii="Arial" w:hAnsi="Arial" w:cs="Arial"/>
          <w:b/>
          <w:sz w:val="20"/>
          <w:szCs w:val="20"/>
        </w:rPr>
      </w:pPr>
    </w:p>
    <w:p w14:paraId="73C1FD9F" w14:textId="77777777" w:rsidR="00D458A8" w:rsidRDefault="00D458A8" w:rsidP="00690016">
      <w:pPr>
        <w:jc w:val="both"/>
        <w:rPr>
          <w:rFonts w:ascii="Arial" w:hAnsi="Arial" w:cs="Arial"/>
          <w:b/>
          <w:sz w:val="20"/>
          <w:szCs w:val="20"/>
        </w:rPr>
      </w:pPr>
    </w:p>
    <w:p w14:paraId="742BA74F" w14:textId="77777777" w:rsidR="0010606F" w:rsidRPr="00B9368D" w:rsidRDefault="00690016" w:rsidP="00690016">
      <w:pPr>
        <w:jc w:val="both"/>
        <w:rPr>
          <w:rFonts w:ascii="Arial" w:hAnsi="Arial" w:cs="Arial"/>
          <w:b/>
          <w:sz w:val="24"/>
          <w:szCs w:val="24"/>
        </w:rPr>
      </w:pPr>
      <w:r w:rsidRPr="00B9368D">
        <w:rPr>
          <w:rFonts w:ascii="Arial" w:hAnsi="Arial" w:cs="Arial"/>
          <w:b/>
          <w:sz w:val="24"/>
          <w:szCs w:val="24"/>
        </w:rPr>
        <w:t>Management of Skin Tears</w:t>
      </w:r>
    </w:p>
    <w:p w14:paraId="49BE66ED" w14:textId="77777777" w:rsidR="0010606F" w:rsidRDefault="0010606F" w:rsidP="0010606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2346"/>
        <w:gridCol w:w="2258"/>
        <w:gridCol w:w="2359"/>
        <w:gridCol w:w="2190"/>
        <w:gridCol w:w="2083"/>
        <w:gridCol w:w="2791"/>
      </w:tblGrid>
      <w:tr w:rsidR="0010606F" w14:paraId="3DA70D7A" w14:textId="77777777" w:rsidTr="00166766">
        <w:tc>
          <w:tcPr>
            <w:tcW w:w="15388" w:type="dxa"/>
            <w:gridSpan w:val="7"/>
            <w:shd w:val="clear" w:color="auto" w:fill="FFF2CC" w:themeFill="accent4" w:themeFillTint="33"/>
          </w:tcPr>
          <w:p w14:paraId="287F7B39" w14:textId="77777777" w:rsidR="0010606F" w:rsidRPr="00B9368D" w:rsidRDefault="0010606F" w:rsidP="00BB2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68D">
              <w:rPr>
                <w:rFonts w:ascii="Arial" w:hAnsi="Arial" w:cs="Arial"/>
                <w:b/>
                <w:sz w:val="24"/>
                <w:szCs w:val="24"/>
              </w:rPr>
              <w:t xml:space="preserve">Skin Tear Classification </w:t>
            </w:r>
          </w:p>
        </w:tc>
      </w:tr>
      <w:tr w:rsidR="0025000A" w14:paraId="2529E3BD" w14:textId="77777777" w:rsidTr="00166766">
        <w:tc>
          <w:tcPr>
            <w:tcW w:w="1361" w:type="dxa"/>
            <w:shd w:val="clear" w:color="auto" w:fill="FFF2CC" w:themeFill="accent4" w:themeFillTint="33"/>
          </w:tcPr>
          <w:p w14:paraId="4CBCDE02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346" w:type="dxa"/>
            <w:shd w:val="clear" w:color="auto" w:fill="FFF2CC" w:themeFill="accent4" w:themeFillTint="33"/>
          </w:tcPr>
          <w:p w14:paraId="049DC0A8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2066" w:type="dxa"/>
            <w:shd w:val="clear" w:color="auto" w:fill="FFF2CC" w:themeFill="accent4" w:themeFillTint="33"/>
          </w:tcPr>
          <w:p w14:paraId="32F49CE9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sz w:val="20"/>
                <w:szCs w:val="20"/>
              </w:rPr>
              <w:t>1B</w:t>
            </w:r>
          </w:p>
        </w:tc>
        <w:tc>
          <w:tcPr>
            <w:tcW w:w="2359" w:type="dxa"/>
            <w:shd w:val="clear" w:color="auto" w:fill="FFF2CC" w:themeFill="accent4" w:themeFillTint="33"/>
          </w:tcPr>
          <w:p w14:paraId="6D34731B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14:paraId="1030B232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2083" w:type="dxa"/>
            <w:shd w:val="clear" w:color="auto" w:fill="FFF2CC" w:themeFill="accent4" w:themeFillTint="33"/>
          </w:tcPr>
          <w:p w14:paraId="3730E47B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1" w:type="dxa"/>
            <w:shd w:val="clear" w:color="auto" w:fill="FFF2CC" w:themeFill="accent4" w:themeFillTint="33"/>
          </w:tcPr>
          <w:p w14:paraId="69BA24FD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sz w:val="20"/>
                <w:szCs w:val="20"/>
              </w:rPr>
              <w:t>Haematoma</w:t>
            </w:r>
            <w:r w:rsidR="00AC3051">
              <w:rPr>
                <w:rFonts w:ascii="Arial" w:hAnsi="Arial" w:cs="Arial"/>
                <w:b/>
                <w:sz w:val="20"/>
                <w:szCs w:val="20"/>
              </w:rPr>
              <w:t xml:space="preserve"> – may need secondary referral</w:t>
            </w:r>
          </w:p>
        </w:tc>
      </w:tr>
      <w:tr w:rsidR="0025000A" w14:paraId="173513D4" w14:textId="77777777" w:rsidTr="001D1007">
        <w:trPr>
          <w:trHeight w:val="1548"/>
        </w:trPr>
        <w:tc>
          <w:tcPr>
            <w:tcW w:w="1361" w:type="dxa"/>
            <w:shd w:val="clear" w:color="auto" w:fill="FFF2CC" w:themeFill="accent4" w:themeFillTint="33"/>
          </w:tcPr>
          <w:p w14:paraId="53129DBB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rFonts w:ascii="Arial" w:hAnsi="Arial" w:cs="Arial"/>
                <w:b/>
                <w:sz w:val="20"/>
                <w:szCs w:val="20"/>
              </w:rPr>
              <w:t>Appearance</w:t>
            </w:r>
          </w:p>
        </w:tc>
        <w:tc>
          <w:tcPr>
            <w:tcW w:w="2346" w:type="dxa"/>
            <w:shd w:val="clear" w:color="auto" w:fill="FFE599" w:themeFill="accent4" w:themeFillTint="66"/>
          </w:tcPr>
          <w:p w14:paraId="0C39E122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7A9FCD5E" wp14:editId="5F969199">
                  <wp:extent cx="1352550" cy="960312"/>
                  <wp:effectExtent l="0" t="0" r="0" b="0"/>
                  <wp:docPr id="5" name="irc_mi" descr="Image result for skin tear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kin tear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00" cy="97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FE599" w:themeFill="accent4" w:themeFillTint="66"/>
          </w:tcPr>
          <w:p w14:paraId="237E92CB" w14:textId="77777777" w:rsidR="0010606F" w:rsidRPr="00AC3051" w:rsidRDefault="0025000A" w:rsidP="00166766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E5C7D90" wp14:editId="2D49D521">
                  <wp:extent cx="1297139" cy="923050"/>
                  <wp:effectExtent l="0" t="0" r="0" b="0"/>
                  <wp:docPr id="1" name="Picture 1" descr="Related imag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31" cy="93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shd w:val="clear" w:color="auto" w:fill="FFE599" w:themeFill="accent4" w:themeFillTint="66"/>
          </w:tcPr>
          <w:p w14:paraId="49D24D7D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4822856" wp14:editId="10521A73">
                  <wp:extent cx="1361266" cy="10033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73" cy="100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E599" w:themeFill="accent4" w:themeFillTint="66"/>
          </w:tcPr>
          <w:p w14:paraId="23F382CA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CD71E3" wp14:editId="3C96EF93">
                  <wp:extent cx="1013154" cy="800100"/>
                  <wp:effectExtent l="76200" t="76200" r="130175" b="133350"/>
                  <wp:docPr id="12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5" t="13452" r="12532"/>
                          <a:stretch/>
                        </pic:blipFill>
                        <pic:spPr bwMode="auto">
                          <a:xfrm>
                            <a:off x="0" y="0"/>
                            <a:ext cx="1016180" cy="802490"/>
                          </a:xfrm>
                          <a:prstGeom prst="rect">
                            <a:avLst/>
                          </a:prstGeom>
                          <a:noFill/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shd w:val="clear" w:color="auto" w:fill="FFE599" w:themeFill="accent4" w:themeFillTint="66"/>
          </w:tcPr>
          <w:p w14:paraId="4FED32B5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71B9A4" wp14:editId="76EB76E1">
                  <wp:extent cx="1185545" cy="8278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81" cy="828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FFE599" w:themeFill="accent4" w:themeFillTint="66"/>
          </w:tcPr>
          <w:p w14:paraId="59BF33DA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3C9FAE" wp14:editId="2AC6BF7D">
                  <wp:extent cx="1625600" cy="948063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55" cy="953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00A" w14:paraId="50FA1CFD" w14:textId="77777777" w:rsidTr="00166766">
        <w:tc>
          <w:tcPr>
            <w:tcW w:w="1361" w:type="dxa"/>
            <w:shd w:val="clear" w:color="auto" w:fill="FFF2CC" w:themeFill="accent4" w:themeFillTint="33"/>
          </w:tcPr>
          <w:p w14:paraId="6A46797D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346" w:type="dxa"/>
            <w:shd w:val="clear" w:color="auto" w:fill="FFE599" w:themeFill="accent4" w:themeFillTint="66"/>
          </w:tcPr>
          <w:p w14:paraId="2CAFA992" w14:textId="77777777" w:rsidR="0010606F" w:rsidRPr="002D0EBD" w:rsidRDefault="0010606F" w:rsidP="00BB2B5F">
            <w:pPr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The edges of the skin tear can be fully realigned to the normal position without over stretching and the skin or flap is not pale, dusky or darkened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14:paraId="6A0914DD" w14:textId="77777777" w:rsidR="0010606F" w:rsidRPr="002D0EBD" w:rsidRDefault="0010606F" w:rsidP="00BB2B5F">
            <w:pPr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hAnsi="Arial" w:cs="Arial"/>
                <w:sz w:val="20"/>
                <w:szCs w:val="20"/>
              </w:rPr>
              <w:t>The edges of the skin tear can be realigned to the normal position without over stretching and the skin flap is pale, dusky or darkened</w:t>
            </w:r>
          </w:p>
        </w:tc>
        <w:tc>
          <w:tcPr>
            <w:tcW w:w="2359" w:type="dxa"/>
            <w:shd w:val="clear" w:color="auto" w:fill="FFE599" w:themeFill="accent4" w:themeFillTint="66"/>
          </w:tcPr>
          <w:p w14:paraId="79723F6B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The edges cannot be realigned to the normal position and the skin or flap is not pale, dusky or darkened</w:t>
            </w:r>
          </w:p>
        </w:tc>
        <w:tc>
          <w:tcPr>
            <w:tcW w:w="2342" w:type="dxa"/>
            <w:shd w:val="clear" w:color="auto" w:fill="FFE599" w:themeFill="accent4" w:themeFillTint="66"/>
          </w:tcPr>
          <w:p w14:paraId="2EF7E39C" w14:textId="77777777" w:rsidR="0010606F" w:rsidRPr="002D0EBD" w:rsidRDefault="0010606F" w:rsidP="00BB2B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The edges cannot be realigned to the normal position and the skin is pale, dusky or darkened</w:t>
            </w:r>
          </w:p>
        </w:tc>
        <w:tc>
          <w:tcPr>
            <w:tcW w:w="2083" w:type="dxa"/>
            <w:shd w:val="clear" w:color="auto" w:fill="FFE599" w:themeFill="accent4" w:themeFillTint="66"/>
          </w:tcPr>
          <w:p w14:paraId="76E39556" w14:textId="77777777" w:rsidR="0010606F" w:rsidRPr="002D0EBD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The flap is completely absent</w:t>
            </w:r>
          </w:p>
        </w:tc>
        <w:tc>
          <w:tcPr>
            <w:tcW w:w="2831" w:type="dxa"/>
            <w:shd w:val="clear" w:color="auto" w:fill="FFE599" w:themeFill="accent4" w:themeFillTint="66"/>
          </w:tcPr>
          <w:p w14:paraId="13E4F0E4" w14:textId="77777777" w:rsidR="0010606F" w:rsidRPr="00F61EBA" w:rsidRDefault="0010606F" w:rsidP="00BB2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EBA">
              <w:rPr>
                <w:rFonts w:ascii="Arial" w:eastAsia="Times New Roman" w:hAnsi="Arial" w:cs="Arial"/>
                <w:sz w:val="20"/>
                <w:szCs w:val="20"/>
              </w:rPr>
              <w:t>A collection of blood leaked from the vessels into the tissues below the skin.  This may be seen as a dark red collection causing a tightening of the skin.  In a large haematoma a hard mass may be present</w:t>
            </w:r>
          </w:p>
        </w:tc>
      </w:tr>
    </w:tbl>
    <w:p w14:paraId="2636FEA9" w14:textId="77777777" w:rsidR="0010606F" w:rsidRPr="00462986" w:rsidRDefault="0010606F" w:rsidP="0010606F">
      <w:pPr>
        <w:tabs>
          <w:tab w:val="left" w:pos="4333"/>
          <w:tab w:val="center" w:pos="7699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568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078"/>
        <w:gridCol w:w="1418"/>
        <w:gridCol w:w="2693"/>
        <w:gridCol w:w="2268"/>
        <w:gridCol w:w="2268"/>
        <w:gridCol w:w="1702"/>
      </w:tblGrid>
      <w:tr w:rsidR="0010606F" w:rsidRPr="002D0EBD" w14:paraId="3EF3DADE" w14:textId="77777777" w:rsidTr="001D1007">
        <w:tc>
          <w:tcPr>
            <w:tcW w:w="15683" w:type="dxa"/>
            <w:gridSpan w:val="8"/>
            <w:shd w:val="clear" w:color="auto" w:fill="FFE599" w:themeFill="accent4" w:themeFillTint="66"/>
          </w:tcPr>
          <w:p w14:paraId="26D470B0" w14:textId="77777777" w:rsidR="0010606F" w:rsidRPr="00B9368D" w:rsidRDefault="0010606F" w:rsidP="00BB2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68D">
              <w:rPr>
                <w:rFonts w:ascii="Arial" w:hAnsi="Arial" w:cs="Arial"/>
                <w:b/>
                <w:sz w:val="24"/>
                <w:szCs w:val="24"/>
              </w:rPr>
              <w:t>Treatment Pathway</w:t>
            </w:r>
          </w:p>
        </w:tc>
      </w:tr>
      <w:tr w:rsidR="0010606F" w:rsidRPr="002D0EBD" w14:paraId="565CF324" w14:textId="77777777" w:rsidTr="001D1007">
        <w:trPr>
          <w:trHeight w:val="1877"/>
        </w:trPr>
        <w:tc>
          <w:tcPr>
            <w:tcW w:w="1838" w:type="dxa"/>
            <w:shd w:val="clear" w:color="auto" w:fill="FFD966" w:themeFill="accent4" w:themeFillTint="99"/>
          </w:tcPr>
          <w:p w14:paraId="2C2042B4" w14:textId="77777777" w:rsidR="0010606F" w:rsidRPr="002D0EBD" w:rsidRDefault="0010606F" w:rsidP="00BB2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Control bleeding – elevate the limb (if bleeding does not stop in 10 minutes get medical assistance)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6CABB4E0" w14:textId="77777777" w:rsidR="0010606F" w:rsidRPr="002D0EBD" w:rsidRDefault="0010606F" w:rsidP="00BB2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hAnsi="Arial" w:cs="Arial"/>
                <w:sz w:val="20"/>
                <w:szCs w:val="20"/>
              </w:rPr>
              <w:t xml:space="preserve">Complete assessment – see </w:t>
            </w:r>
            <w:r>
              <w:rPr>
                <w:rFonts w:ascii="Arial" w:hAnsi="Arial" w:cs="Arial"/>
                <w:sz w:val="20"/>
                <w:szCs w:val="20"/>
              </w:rPr>
              <w:t>guidance above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1246EC24" w14:textId="77777777" w:rsidR="0010606F" w:rsidRPr="002D0EBD" w:rsidRDefault="0010606F" w:rsidP="00BB2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For lacerations extending into fascia, muscle, tendon or bone or haematomas obtain medical or tissue viability advice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45DDD0CF" w14:textId="77777777" w:rsidR="0010606F" w:rsidRPr="002D0EBD" w:rsidRDefault="0010606F" w:rsidP="00BB2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hAnsi="Arial" w:cs="Arial"/>
                <w:sz w:val="20"/>
                <w:szCs w:val="20"/>
              </w:rPr>
              <w:t>Cleanse with warm saline – Do NOT use adhesive strips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69A063B9" w14:textId="77777777" w:rsidR="0010606F" w:rsidRPr="002D0EBD" w:rsidRDefault="0010606F" w:rsidP="00BB2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If the skin flap is viable gently easy back in place with a sterile gloved finger or forceps.  If it is not viable rehydrate with a moist gauze swab for 5 minutes &amp; ease back in place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491E97D5" w14:textId="77777777" w:rsidR="0010606F" w:rsidRPr="002D0EBD" w:rsidRDefault="0010606F" w:rsidP="00BB2B5F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Apply a wound contact layer and suitable secondary dressing in the direction of the flap so that it holds the flap in place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35B3A83C" w14:textId="77777777" w:rsidR="0010606F" w:rsidRPr="002D0EBD" w:rsidRDefault="0010606F" w:rsidP="00BB2B5F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Mark 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D0EBD">
              <w:rPr>
                <w:rFonts w:ascii="Arial" w:eastAsia="Times New Roman" w:hAnsi="Arial" w:cs="Arial"/>
                <w:sz w:val="20"/>
                <w:szCs w:val="20"/>
              </w:rPr>
              <w:t xml:space="preserve"> dressing with an arrow indicating the direction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f the skin flap. Alway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2D0EBD">
              <w:rPr>
                <w:rFonts w:ascii="Arial" w:eastAsia="Times New Roman" w:hAnsi="Arial" w:cs="Arial"/>
                <w:sz w:val="20"/>
                <w:szCs w:val="20"/>
              </w:rPr>
              <w:t xml:space="preserve"> remove dressings in the direction of the arrow to ensure the flap is not disturbed</w:t>
            </w:r>
          </w:p>
        </w:tc>
        <w:tc>
          <w:tcPr>
            <w:tcW w:w="1702" w:type="dxa"/>
            <w:shd w:val="clear" w:color="auto" w:fill="FFD966" w:themeFill="accent4" w:themeFillTint="99"/>
          </w:tcPr>
          <w:p w14:paraId="4849E82D" w14:textId="77777777" w:rsidR="0010606F" w:rsidRPr="006A20AE" w:rsidRDefault="0010606F" w:rsidP="00BB2B5F">
            <w:pPr>
              <w:spacing w:after="2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0EBD">
              <w:rPr>
                <w:rFonts w:ascii="Arial" w:eastAsia="Times New Roman" w:hAnsi="Arial" w:cs="Arial"/>
                <w:sz w:val="20"/>
                <w:szCs w:val="20"/>
              </w:rPr>
              <w:t xml:space="preserve">Review category 1A and 2A after 7 </w:t>
            </w:r>
            <w:proofErr w:type="gramStart"/>
            <w:r w:rsidRPr="002D0EBD">
              <w:rPr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A20A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="006A20AE">
              <w:rPr>
                <w:rFonts w:ascii="Arial" w:eastAsia="Times New Roman" w:hAnsi="Arial" w:cs="Arial"/>
                <w:sz w:val="20"/>
                <w:szCs w:val="20"/>
              </w:rPr>
              <w:t xml:space="preserve"> as dictated by exudate.  </w:t>
            </w:r>
            <w:r w:rsidRPr="002D0EBD">
              <w:rPr>
                <w:rFonts w:ascii="Arial" w:eastAsia="Times New Roman" w:hAnsi="Arial" w:cs="Arial"/>
                <w:sz w:val="20"/>
                <w:szCs w:val="20"/>
              </w:rPr>
              <w:t>Review category 1B or 2B after 2 days</w:t>
            </w:r>
          </w:p>
        </w:tc>
      </w:tr>
    </w:tbl>
    <w:p w14:paraId="46E8A264" w14:textId="77777777" w:rsidR="0010606F" w:rsidRPr="00690016" w:rsidRDefault="0010606F" w:rsidP="00690016">
      <w:pPr>
        <w:jc w:val="both"/>
        <w:rPr>
          <w:rFonts w:ascii="Arial Narrow" w:eastAsia="Times New Roman" w:hAnsi="Arial Narrow" w:cs="Arial Narrow"/>
          <w:sz w:val="20"/>
          <w:szCs w:val="20"/>
        </w:rPr>
      </w:pPr>
    </w:p>
    <w:p w14:paraId="65AAA8E6" w14:textId="77777777" w:rsidR="0010606F" w:rsidRPr="00B9368D" w:rsidRDefault="00D44698" w:rsidP="0069001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Managing Old or Chronic Skin Tears</w:t>
      </w:r>
      <w:r w:rsidR="00690016" w:rsidRPr="00B9368D">
        <w:rPr>
          <w:rFonts w:ascii="Arial" w:hAnsi="Arial" w:cs="Arial"/>
          <w:b/>
          <w:sz w:val="24"/>
          <w:szCs w:val="24"/>
        </w:rPr>
        <w:t xml:space="preserve"> </w:t>
      </w:r>
    </w:p>
    <w:p w14:paraId="5F1E5FD6" w14:textId="77777777" w:rsidR="006C4725" w:rsidRDefault="006C4725" w:rsidP="00690016">
      <w:pPr>
        <w:jc w:val="left"/>
        <w:rPr>
          <w:rFonts w:ascii="Arial" w:hAnsi="Arial" w:cs="Arial"/>
          <w:b/>
          <w:sz w:val="20"/>
          <w:szCs w:val="20"/>
        </w:rPr>
      </w:pPr>
    </w:p>
    <w:p w14:paraId="2B4F7E3E" w14:textId="77777777" w:rsidR="00690016" w:rsidRDefault="006C4725" w:rsidP="00D4469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skin tears should </w:t>
      </w:r>
      <w:r w:rsidR="00D44698">
        <w:rPr>
          <w:rFonts w:ascii="Arial" w:hAnsi="Arial" w:cs="Arial"/>
          <w:sz w:val="20"/>
          <w:szCs w:val="20"/>
        </w:rPr>
        <w:t>be dressed as outlined above, a</w:t>
      </w:r>
      <w:r>
        <w:rPr>
          <w:rFonts w:ascii="Arial" w:hAnsi="Arial" w:cs="Arial"/>
          <w:sz w:val="20"/>
          <w:szCs w:val="20"/>
        </w:rPr>
        <w:t xml:space="preserve"> wound contact layer or foam dressing can be used with a light or tubular bandage to secure.  Whe</w:t>
      </w:r>
      <w:r w:rsidR="00D44698">
        <w:rPr>
          <w:rFonts w:ascii="Arial" w:hAnsi="Arial" w:cs="Arial"/>
          <w:sz w:val="20"/>
          <w:szCs w:val="20"/>
        </w:rPr>
        <w:t xml:space="preserve">n the patient presents with an old wound or chronic skin tear, where you cannot replace the </w:t>
      </w:r>
      <w:proofErr w:type="gramStart"/>
      <w:r w:rsidR="00D44698">
        <w:rPr>
          <w:rFonts w:ascii="Arial" w:hAnsi="Arial" w:cs="Arial"/>
          <w:sz w:val="20"/>
          <w:szCs w:val="20"/>
        </w:rPr>
        <w:t>flap</w:t>
      </w:r>
      <w:proofErr w:type="gramEnd"/>
      <w:r w:rsidR="00D44698">
        <w:rPr>
          <w:rFonts w:ascii="Arial" w:hAnsi="Arial" w:cs="Arial"/>
          <w:sz w:val="20"/>
          <w:szCs w:val="20"/>
        </w:rPr>
        <w:t xml:space="preserve"> it is important the dressing used meets the clinical need.  Use the chart below to support your dressing selection </w:t>
      </w:r>
    </w:p>
    <w:p w14:paraId="23AAE0C6" w14:textId="77777777" w:rsidR="00D44698" w:rsidRPr="00690016" w:rsidRDefault="00D44698" w:rsidP="00D44698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681"/>
        <w:gridCol w:w="2410"/>
        <w:gridCol w:w="2126"/>
        <w:gridCol w:w="2410"/>
        <w:gridCol w:w="4819"/>
      </w:tblGrid>
      <w:tr w:rsidR="00154BAD" w14:paraId="17927B40" w14:textId="77777777" w:rsidTr="00D44698">
        <w:tc>
          <w:tcPr>
            <w:tcW w:w="3681" w:type="dxa"/>
            <w:shd w:val="clear" w:color="auto" w:fill="FBE4D5" w:themeFill="accent2" w:themeFillTint="33"/>
          </w:tcPr>
          <w:p w14:paraId="6D7DD402" w14:textId="77777777" w:rsidR="00154BAD" w:rsidRDefault="00154BAD" w:rsidP="00106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Tissue – Non -Viable</w:t>
            </w:r>
          </w:p>
          <w:p w14:paraId="0F3B46E4" w14:textId="77777777" w:rsidR="00154BAD" w:rsidRPr="00690016" w:rsidRDefault="00154BAD" w:rsidP="00106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Slough or Necrosis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01B5D89" w14:textId="77777777" w:rsidR="00154BAD" w:rsidRPr="00690016" w:rsidRDefault="00154BAD" w:rsidP="00106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Infection / </w:t>
            </w:r>
            <w:r w:rsidR="0018243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nflammation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4E04043" w14:textId="77777777" w:rsidR="00154BAD" w:rsidRPr="00690016" w:rsidRDefault="00154BAD" w:rsidP="00106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Moisture Imbalance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A0E2EF9" w14:textId="77777777" w:rsidR="00154BAD" w:rsidRPr="00690016" w:rsidRDefault="00154BAD" w:rsidP="00106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Edge of Wound not Progressing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5D2CB7C2" w14:textId="77777777" w:rsidR="00154BAD" w:rsidRPr="00690016" w:rsidRDefault="00154BAD" w:rsidP="00106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Surrounding </w:t>
            </w:r>
            <w:r w:rsidR="001824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kin</w:t>
            </w:r>
          </w:p>
        </w:tc>
      </w:tr>
      <w:tr w:rsidR="00154BAD" w14:paraId="569055AF" w14:textId="77777777" w:rsidTr="00D44698">
        <w:tc>
          <w:tcPr>
            <w:tcW w:w="3681" w:type="dxa"/>
            <w:shd w:val="clear" w:color="auto" w:fill="F7CAAC" w:themeFill="accent2" w:themeFillTint="66"/>
          </w:tcPr>
          <w:p w14:paraId="698EFDB2" w14:textId="77777777" w:rsidR="00154BAD" w:rsidRDefault="00154BAD" w:rsidP="006C47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Hydrogel</w:t>
            </w:r>
          </w:p>
          <w:p w14:paraId="2DA77F64" w14:textId="77777777" w:rsidR="00154BAD" w:rsidRDefault="00154BAD" w:rsidP="006C47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Sheet hydrogel</w:t>
            </w:r>
          </w:p>
          <w:p w14:paraId="0DCEDE1F" w14:textId="77777777" w:rsidR="00154BAD" w:rsidRPr="006C4725" w:rsidRDefault="00154BAD" w:rsidP="006C47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 Responsive Wound Dressing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42C06FB" w14:textId="77777777" w:rsidR="00154BAD" w:rsidRPr="006C4725" w:rsidRDefault="00154BAD" w:rsidP="006C47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Antibacterial dressing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38149C1B" w14:textId="77777777" w:rsidR="00154BAD" w:rsidRPr="006C4725" w:rsidRDefault="00154BAD" w:rsidP="006C47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4725">
              <w:rPr>
                <w:rFonts w:ascii="Arial" w:hAnsi="Arial" w:cs="Arial"/>
                <w:sz w:val="20"/>
                <w:szCs w:val="20"/>
              </w:rPr>
              <w:t>Superabsorbent dressing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9B5983F" w14:textId="77777777" w:rsidR="00154BAD" w:rsidRPr="006C4725" w:rsidRDefault="00154BAD" w:rsidP="006C47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Reassess and consider current practice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169E5399" w14:textId="77777777" w:rsidR="00154BAD" w:rsidRDefault="00154BAD" w:rsidP="001667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an emollient to rehydrate dry friable skin</w:t>
            </w:r>
          </w:p>
          <w:p w14:paraId="52F9DC96" w14:textId="77777777" w:rsidR="00154BAD" w:rsidRPr="00166766" w:rsidRDefault="00154BAD" w:rsidP="001667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skin protection socks or tubular bandages</w:t>
            </w:r>
          </w:p>
        </w:tc>
      </w:tr>
    </w:tbl>
    <w:p w14:paraId="5CD4E133" w14:textId="77777777" w:rsidR="000672FC" w:rsidRDefault="00E674DF" w:rsidP="00E674DF">
      <w:pPr>
        <w:jc w:val="both"/>
      </w:pPr>
    </w:p>
    <w:sectPr w:rsidR="000672FC" w:rsidSect="00142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1383" w14:textId="77777777" w:rsidR="002050C8" w:rsidRDefault="002050C8" w:rsidP="001D6CF2">
      <w:r>
        <w:separator/>
      </w:r>
    </w:p>
  </w:endnote>
  <w:endnote w:type="continuationSeparator" w:id="0">
    <w:p w14:paraId="3546680A" w14:textId="77777777" w:rsidR="002050C8" w:rsidRDefault="002050C8" w:rsidP="001D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D9C1" w14:textId="77777777" w:rsidR="002050C8" w:rsidRDefault="002050C8" w:rsidP="001D6CF2">
      <w:r>
        <w:separator/>
      </w:r>
    </w:p>
  </w:footnote>
  <w:footnote w:type="continuationSeparator" w:id="0">
    <w:p w14:paraId="43B85DA0" w14:textId="77777777" w:rsidR="002050C8" w:rsidRDefault="002050C8" w:rsidP="001D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2E9E"/>
    <w:multiLevelType w:val="hybridMultilevel"/>
    <w:tmpl w:val="5B80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70EC"/>
    <w:multiLevelType w:val="hybridMultilevel"/>
    <w:tmpl w:val="D180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5444"/>
    <w:multiLevelType w:val="hybridMultilevel"/>
    <w:tmpl w:val="8682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852B7"/>
    <w:multiLevelType w:val="hybridMultilevel"/>
    <w:tmpl w:val="1F76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6F"/>
    <w:rsid w:val="000E2278"/>
    <w:rsid w:val="0010606F"/>
    <w:rsid w:val="00154BAD"/>
    <w:rsid w:val="00166766"/>
    <w:rsid w:val="00182437"/>
    <w:rsid w:val="001D1007"/>
    <w:rsid w:val="001D6CF2"/>
    <w:rsid w:val="001F7459"/>
    <w:rsid w:val="002050C8"/>
    <w:rsid w:val="0025000A"/>
    <w:rsid w:val="002538CB"/>
    <w:rsid w:val="002C1C8C"/>
    <w:rsid w:val="003378EC"/>
    <w:rsid w:val="00347806"/>
    <w:rsid w:val="0048797D"/>
    <w:rsid w:val="0052595A"/>
    <w:rsid w:val="006468CB"/>
    <w:rsid w:val="00690016"/>
    <w:rsid w:val="006A20AE"/>
    <w:rsid w:val="006A3E18"/>
    <w:rsid w:val="006C4725"/>
    <w:rsid w:val="00746E98"/>
    <w:rsid w:val="00937A22"/>
    <w:rsid w:val="009913FC"/>
    <w:rsid w:val="00A115A6"/>
    <w:rsid w:val="00AC3051"/>
    <w:rsid w:val="00AF6522"/>
    <w:rsid w:val="00B52167"/>
    <w:rsid w:val="00B869EA"/>
    <w:rsid w:val="00B92370"/>
    <w:rsid w:val="00B9368D"/>
    <w:rsid w:val="00B96FC3"/>
    <w:rsid w:val="00BA6211"/>
    <w:rsid w:val="00CD03B0"/>
    <w:rsid w:val="00D003F4"/>
    <w:rsid w:val="00D44698"/>
    <w:rsid w:val="00D458A8"/>
    <w:rsid w:val="00E674DF"/>
    <w:rsid w:val="00F0457F"/>
    <w:rsid w:val="00F44D16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4E49"/>
  <w15:docId w15:val="{C40519EE-E36F-486A-9CA4-80557B1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6F"/>
    <w:pPr>
      <w:ind w:left="720"/>
      <w:contextualSpacing/>
    </w:pPr>
  </w:style>
  <w:style w:type="table" w:styleId="TableGrid">
    <w:name w:val="Table Grid"/>
    <w:basedOn w:val="TableNormal"/>
    <w:uiPriority w:val="39"/>
    <w:rsid w:val="0010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5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5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F2"/>
  </w:style>
  <w:style w:type="paragraph" w:styleId="Footer">
    <w:name w:val="footer"/>
    <w:basedOn w:val="Normal"/>
    <w:link w:val="FooterChar"/>
    <w:uiPriority w:val="99"/>
    <w:unhideWhenUsed/>
    <w:rsid w:val="001D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gif@01D5065E.9EA28080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ved=2ahUKEwi9oKzDxJ_iAhWXAmMBHUfKDXUQjRx6BAgBEAU&amp;url=http://www.vitaminc.kiwi/thin_skin_tear_treatment.htm&amp;psig=AOvVaw0biLZrg_TT6hUzyUrPmhV0&amp;ust=155807840154661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&amp;esrc=s&amp;source=images&amp;cd=&amp;ved=2ahUKEwjH_q3Rzu_gAhVtxYUKHQ57AYsQjRx6BAgBEAU&amp;url=http://www.vitaminc.kiwi/thin_skin_tear_treatment.htm&amp;psig=AOvVaw0DYUp2BFj7DraS3rh7Kb10&amp;ust=15520337991747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undsinternationa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 Julie</dc:creator>
  <cp:keywords/>
  <dc:description/>
  <cp:lastModifiedBy>Charlie Herbert</cp:lastModifiedBy>
  <cp:revision>3</cp:revision>
  <cp:lastPrinted>2022-02-28T12:22:00Z</cp:lastPrinted>
  <dcterms:created xsi:type="dcterms:W3CDTF">2020-03-25T11:37:00Z</dcterms:created>
  <dcterms:modified xsi:type="dcterms:W3CDTF">2022-02-28T12:22:00Z</dcterms:modified>
</cp:coreProperties>
</file>